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C7105" w14:textId="77777777" w:rsidR="00107C04" w:rsidRDefault="00107C04" w:rsidP="00347E52">
      <w:pPr>
        <w:spacing w:line="240" w:lineRule="auto"/>
        <w:ind w:firstLine="0"/>
        <w:jc w:val="center"/>
        <w:rPr>
          <w:rFonts w:ascii="Times New Roman" w:eastAsia="Times New Roman" w:hAnsi="Times New Roman" w:cs="Times New Roman"/>
          <w:kern w:val="0"/>
          <w:sz w:val="40"/>
          <w:lang w:eastAsia="zh-CN"/>
        </w:rPr>
      </w:pPr>
    </w:p>
    <w:p w14:paraId="589B1270" w14:textId="50E5CFA9" w:rsidR="00EA312B" w:rsidRDefault="00EA312B" w:rsidP="00347E52">
      <w:pPr>
        <w:spacing w:line="240" w:lineRule="auto"/>
        <w:ind w:firstLine="0"/>
        <w:jc w:val="center"/>
        <w:rPr>
          <w:rFonts w:ascii="Times New Roman" w:eastAsia="Times New Roman" w:hAnsi="Times New Roman" w:cs="Times New Roman"/>
          <w:kern w:val="0"/>
          <w:sz w:val="40"/>
          <w:lang w:eastAsia="en-US"/>
        </w:rPr>
      </w:pPr>
      <w:r>
        <w:rPr>
          <w:rFonts w:ascii="Times New Roman" w:eastAsia="Times New Roman" w:hAnsi="Times New Roman" w:cs="Times New Roman"/>
          <w:kern w:val="0"/>
          <w:sz w:val="40"/>
          <w:lang w:eastAsia="en-US"/>
        </w:rPr>
        <w:t xml:space="preserve">Implied Volatility of SSE 50 ETF Option: </w:t>
      </w:r>
    </w:p>
    <w:p w14:paraId="6E0917AA" w14:textId="77777777" w:rsidR="00EA312B" w:rsidRDefault="00EA312B" w:rsidP="00347E52">
      <w:pPr>
        <w:spacing w:line="240" w:lineRule="auto"/>
        <w:ind w:firstLine="0"/>
        <w:jc w:val="center"/>
        <w:rPr>
          <w:rFonts w:ascii="Times New Roman" w:eastAsia="Times New Roman" w:hAnsi="Times New Roman" w:cs="Times New Roman"/>
          <w:kern w:val="0"/>
          <w:sz w:val="40"/>
          <w:lang w:eastAsia="en-US"/>
        </w:rPr>
      </w:pPr>
    </w:p>
    <w:p w14:paraId="51080EC2" w14:textId="2821E580" w:rsidR="00347E52" w:rsidRPr="00347E52" w:rsidRDefault="00EA312B" w:rsidP="00347E52">
      <w:pPr>
        <w:spacing w:line="240" w:lineRule="auto"/>
        <w:ind w:firstLine="0"/>
        <w:jc w:val="center"/>
        <w:rPr>
          <w:rFonts w:ascii="Times New Roman" w:eastAsia="Times New Roman" w:hAnsi="Times New Roman" w:cs="Times New Roman"/>
          <w:kern w:val="0"/>
          <w:sz w:val="40"/>
          <w:lang w:eastAsia="zh-CN"/>
        </w:rPr>
      </w:pPr>
      <w:r w:rsidRPr="00EA312B">
        <w:rPr>
          <w:rFonts w:ascii="Times New Roman" w:eastAsia="Times New Roman" w:hAnsi="Times New Roman" w:cs="Times New Roman"/>
          <w:kern w:val="0"/>
          <w:sz w:val="40"/>
          <w:lang w:eastAsia="en-US"/>
        </w:rPr>
        <w:t xml:space="preserve">Price-Volatility </w:t>
      </w:r>
      <w:r w:rsidR="00107C04">
        <w:rPr>
          <w:rFonts w:ascii="Times New Roman" w:eastAsia="Times New Roman" w:hAnsi="Times New Roman" w:cs="Times New Roman"/>
          <w:kern w:val="0"/>
          <w:sz w:val="40"/>
          <w:lang w:eastAsia="en-US"/>
        </w:rPr>
        <w:t>Relationship</w:t>
      </w:r>
      <w:r>
        <w:rPr>
          <w:rFonts w:ascii="Times New Roman" w:eastAsia="Times New Roman" w:hAnsi="Times New Roman" w:cs="Times New Roman"/>
          <w:kern w:val="0"/>
          <w:sz w:val="40"/>
          <w:lang w:eastAsia="en-US"/>
        </w:rPr>
        <w:t xml:space="preserve"> and Predictive Power</w:t>
      </w:r>
    </w:p>
    <w:p w14:paraId="3D2B1101" w14:textId="77777777" w:rsidR="00347E52" w:rsidRPr="00347E52" w:rsidRDefault="00347E52" w:rsidP="00347E52">
      <w:pPr>
        <w:spacing w:line="240" w:lineRule="auto"/>
        <w:ind w:firstLine="0"/>
        <w:jc w:val="center"/>
        <w:rPr>
          <w:rFonts w:ascii="Times New Roman" w:eastAsia="Times New Roman" w:hAnsi="Times New Roman" w:cs="Times New Roman"/>
          <w:kern w:val="0"/>
          <w:sz w:val="40"/>
          <w:lang w:eastAsia="en-US"/>
        </w:rPr>
      </w:pPr>
    </w:p>
    <w:p w14:paraId="383815C0" w14:textId="77777777" w:rsidR="00347E52" w:rsidRPr="00347E52" w:rsidRDefault="00347E52" w:rsidP="00347E52">
      <w:pPr>
        <w:spacing w:line="240" w:lineRule="auto"/>
        <w:ind w:firstLine="0"/>
        <w:jc w:val="center"/>
        <w:rPr>
          <w:rFonts w:ascii="Times New Roman" w:eastAsia="Times New Roman" w:hAnsi="Times New Roman" w:cs="Times New Roman"/>
          <w:kern w:val="0"/>
          <w:sz w:val="40"/>
          <w:lang w:eastAsia="en-US"/>
        </w:rPr>
      </w:pPr>
      <w:r w:rsidRPr="00347E52">
        <w:rPr>
          <w:rFonts w:ascii="Times New Roman" w:eastAsia="Times New Roman" w:hAnsi="Times New Roman" w:cs="Times New Roman"/>
          <w:kern w:val="0"/>
          <w:sz w:val="40"/>
          <w:lang w:eastAsia="en-US"/>
        </w:rPr>
        <w:t>by</w:t>
      </w:r>
    </w:p>
    <w:p w14:paraId="5AA73E0A" w14:textId="77777777" w:rsidR="00347E52" w:rsidRPr="00347E52" w:rsidRDefault="00347E52" w:rsidP="00347E52">
      <w:pPr>
        <w:spacing w:line="240" w:lineRule="auto"/>
        <w:ind w:firstLine="0"/>
        <w:jc w:val="center"/>
        <w:rPr>
          <w:rFonts w:ascii="Times New Roman" w:eastAsia="Times New Roman" w:hAnsi="Times New Roman" w:cs="Times New Roman"/>
          <w:kern w:val="0"/>
          <w:sz w:val="40"/>
          <w:lang w:eastAsia="en-US"/>
        </w:rPr>
      </w:pPr>
    </w:p>
    <w:p w14:paraId="5D03F6EC" w14:textId="77777777" w:rsidR="00347E52" w:rsidRPr="00347E52" w:rsidRDefault="00347E52" w:rsidP="00347E52">
      <w:pPr>
        <w:spacing w:line="240" w:lineRule="auto"/>
        <w:ind w:firstLine="0"/>
        <w:jc w:val="center"/>
        <w:rPr>
          <w:rFonts w:ascii="Times New Roman" w:eastAsia="Times New Roman" w:hAnsi="Times New Roman" w:cs="Times New Roman"/>
          <w:kern w:val="0"/>
          <w:sz w:val="40"/>
          <w:lang w:eastAsia="en-US"/>
        </w:rPr>
      </w:pPr>
    </w:p>
    <w:p w14:paraId="7C24AE26" w14:textId="77777777" w:rsidR="00347E52" w:rsidRPr="00347E52" w:rsidRDefault="00347E52" w:rsidP="00347E52">
      <w:pPr>
        <w:keepNext/>
        <w:spacing w:line="240" w:lineRule="auto"/>
        <w:ind w:firstLine="0"/>
        <w:jc w:val="center"/>
        <w:outlineLvl w:val="0"/>
        <w:rPr>
          <w:rFonts w:ascii="Times New Roman" w:eastAsia="Times New Roman" w:hAnsi="Times New Roman" w:cs="Times New Roman"/>
          <w:kern w:val="0"/>
          <w:sz w:val="32"/>
          <w:lang w:eastAsia="en-US"/>
        </w:rPr>
      </w:pPr>
      <w:bookmarkStart w:id="0" w:name="_Toc39668388"/>
      <w:bookmarkStart w:id="1" w:name="_Toc39769246"/>
      <w:bookmarkStart w:id="2" w:name="_Toc39831256"/>
      <w:bookmarkStart w:id="3" w:name="_Toc39843391"/>
      <w:r w:rsidRPr="00347E52">
        <w:rPr>
          <w:rFonts w:ascii="Times New Roman" w:eastAsia="Times New Roman" w:hAnsi="Times New Roman" w:cs="Times New Roman"/>
          <w:kern w:val="0"/>
          <w:sz w:val="32"/>
          <w:lang w:eastAsia="en-US"/>
        </w:rPr>
        <w:t>Ziyun Lu</w:t>
      </w:r>
      <w:bookmarkEnd w:id="0"/>
      <w:bookmarkEnd w:id="1"/>
      <w:bookmarkEnd w:id="2"/>
      <w:bookmarkEnd w:id="3"/>
    </w:p>
    <w:p w14:paraId="2639CFA8"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p>
    <w:p w14:paraId="12E03095"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p>
    <w:p w14:paraId="3DB481B8"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p>
    <w:p w14:paraId="50E15585"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r w:rsidRPr="00347E52">
        <w:rPr>
          <w:rFonts w:ascii="Times New Roman" w:eastAsia="Times New Roman" w:hAnsi="Times New Roman" w:cs="Times New Roman"/>
          <w:kern w:val="0"/>
          <w:sz w:val="32"/>
          <w:lang w:eastAsia="en-US"/>
        </w:rPr>
        <w:t>An honors thesis submitted in partial fulfillment</w:t>
      </w:r>
    </w:p>
    <w:p w14:paraId="6F9ABBCF"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p>
    <w:p w14:paraId="1E23F501"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r w:rsidRPr="00347E52">
        <w:rPr>
          <w:rFonts w:ascii="Times New Roman" w:eastAsia="Times New Roman" w:hAnsi="Times New Roman" w:cs="Times New Roman"/>
          <w:kern w:val="0"/>
          <w:sz w:val="32"/>
          <w:lang w:eastAsia="en-US"/>
        </w:rPr>
        <w:t>of the requirements for the degree of</w:t>
      </w:r>
    </w:p>
    <w:p w14:paraId="647AE421"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p>
    <w:p w14:paraId="598EABBD"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r w:rsidRPr="00347E52">
        <w:rPr>
          <w:rFonts w:ascii="Times New Roman" w:eastAsia="Times New Roman" w:hAnsi="Times New Roman" w:cs="Times New Roman"/>
          <w:kern w:val="0"/>
          <w:sz w:val="32"/>
          <w:lang w:eastAsia="en-US"/>
        </w:rPr>
        <w:t>Bachelor of Science</w:t>
      </w:r>
    </w:p>
    <w:p w14:paraId="515F6520"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p>
    <w:p w14:paraId="53B752F1"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r w:rsidRPr="00347E52">
        <w:rPr>
          <w:rFonts w:ascii="Times New Roman" w:eastAsia="Times New Roman" w:hAnsi="Times New Roman" w:cs="Times New Roman"/>
          <w:kern w:val="0"/>
          <w:sz w:val="32"/>
          <w:lang w:eastAsia="en-US"/>
        </w:rPr>
        <w:t>Business and Economics Honors Program</w:t>
      </w:r>
    </w:p>
    <w:p w14:paraId="3AF5CAFB"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p>
    <w:p w14:paraId="0278DA73"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r w:rsidRPr="00347E52">
        <w:rPr>
          <w:rFonts w:ascii="Times New Roman" w:eastAsia="Times New Roman" w:hAnsi="Times New Roman" w:cs="Times New Roman"/>
          <w:kern w:val="0"/>
          <w:sz w:val="32"/>
          <w:lang w:eastAsia="en-US"/>
        </w:rPr>
        <w:t>NYU Shanghai</w:t>
      </w:r>
    </w:p>
    <w:p w14:paraId="71612A64"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p>
    <w:p w14:paraId="37A43C83"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r w:rsidRPr="00347E52">
        <w:rPr>
          <w:rFonts w:ascii="Times New Roman" w:eastAsia="Times New Roman" w:hAnsi="Times New Roman" w:cs="Times New Roman"/>
          <w:kern w:val="0"/>
          <w:sz w:val="32"/>
          <w:lang w:eastAsia="en-US"/>
        </w:rPr>
        <w:t>May 2020</w:t>
      </w:r>
    </w:p>
    <w:p w14:paraId="32B233A6" w14:textId="77777777" w:rsidR="00347E52" w:rsidRPr="00347E52" w:rsidRDefault="00347E52" w:rsidP="00347E52">
      <w:pPr>
        <w:spacing w:line="240" w:lineRule="auto"/>
        <w:ind w:firstLine="0"/>
        <w:jc w:val="center"/>
        <w:rPr>
          <w:rFonts w:ascii="Times New Roman" w:eastAsia="Times New Roman" w:hAnsi="Times New Roman" w:cs="Times New Roman"/>
          <w:kern w:val="0"/>
          <w:sz w:val="32"/>
          <w:lang w:eastAsia="en-US"/>
        </w:rPr>
      </w:pPr>
    </w:p>
    <w:p w14:paraId="79743AC6" w14:textId="77777777" w:rsidR="00347E52" w:rsidRPr="00347E52" w:rsidRDefault="00347E52" w:rsidP="00347E52">
      <w:pPr>
        <w:spacing w:line="240" w:lineRule="auto"/>
        <w:ind w:firstLine="0"/>
        <w:rPr>
          <w:rFonts w:ascii="Times New Roman" w:eastAsia="Times New Roman" w:hAnsi="Times New Roman" w:cs="Times New Roman"/>
          <w:kern w:val="0"/>
          <w:sz w:val="32"/>
          <w:lang w:eastAsia="en-US"/>
        </w:rPr>
      </w:pPr>
      <w:r w:rsidRPr="00347E52">
        <w:rPr>
          <w:rFonts w:ascii="Times New Roman" w:eastAsia="Times New Roman" w:hAnsi="Times New Roman" w:cs="Times New Roman"/>
          <w:kern w:val="0"/>
          <w:sz w:val="32"/>
          <w:lang w:eastAsia="en-US"/>
        </w:rPr>
        <w:tab/>
      </w:r>
      <w:r w:rsidRPr="00347E52">
        <w:rPr>
          <w:rFonts w:ascii="Times New Roman" w:eastAsia="Times New Roman" w:hAnsi="Times New Roman" w:cs="Times New Roman"/>
          <w:kern w:val="0"/>
          <w:sz w:val="32"/>
          <w:lang w:eastAsia="en-US"/>
        </w:rPr>
        <w:tab/>
      </w:r>
      <w:r w:rsidRPr="00347E52">
        <w:rPr>
          <w:rFonts w:ascii="Times New Roman" w:eastAsia="Times New Roman" w:hAnsi="Times New Roman" w:cs="Times New Roman"/>
          <w:kern w:val="0"/>
          <w:sz w:val="32"/>
          <w:lang w:eastAsia="en-US"/>
        </w:rPr>
        <w:tab/>
      </w:r>
      <w:r w:rsidRPr="00347E52">
        <w:rPr>
          <w:rFonts w:ascii="Times New Roman" w:eastAsia="Times New Roman" w:hAnsi="Times New Roman" w:cs="Times New Roman"/>
          <w:kern w:val="0"/>
          <w:sz w:val="32"/>
          <w:lang w:eastAsia="en-US"/>
        </w:rPr>
        <w:tab/>
      </w:r>
      <w:r w:rsidRPr="00347E52">
        <w:rPr>
          <w:rFonts w:ascii="Times New Roman" w:eastAsia="Times New Roman" w:hAnsi="Times New Roman" w:cs="Times New Roman"/>
          <w:kern w:val="0"/>
          <w:sz w:val="32"/>
          <w:lang w:eastAsia="en-US"/>
        </w:rPr>
        <w:tab/>
      </w:r>
      <w:r w:rsidRPr="00347E52">
        <w:rPr>
          <w:rFonts w:ascii="Times New Roman" w:eastAsia="Times New Roman" w:hAnsi="Times New Roman" w:cs="Times New Roman"/>
          <w:kern w:val="0"/>
          <w:sz w:val="32"/>
          <w:lang w:eastAsia="en-US"/>
        </w:rPr>
        <w:tab/>
      </w:r>
      <w:r w:rsidRPr="00347E52">
        <w:rPr>
          <w:rFonts w:ascii="Times New Roman" w:eastAsia="Times New Roman" w:hAnsi="Times New Roman" w:cs="Times New Roman"/>
          <w:kern w:val="0"/>
          <w:sz w:val="32"/>
          <w:lang w:eastAsia="en-US"/>
        </w:rPr>
        <w:tab/>
      </w:r>
    </w:p>
    <w:p w14:paraId="7AFFA51A" w14:textId="77777777" w:rsidR="00347E52" w:rsidRPr="00347E52" w:rsidRDefault="00347E52" w:rsidP="00347E52">
      <w:pPr>
        <w:spacing w:line="240" w:lineRule="auto"/>
        <w:ind w:firstLine="0"/>
        <w:rPr>
          <w:rFonts w:ascii="Times New Roman" w:eastAsia="Times New Roman" w:hAnsi="Times New Roman" w:cs="Times New Roman"/>
          <w:kern w:val="0"/>
          <w:sz w:val="32"/>
          <w:lang w:eastAsia="en-US"/>
        </w:rPr>
      </w:pPr>
      <w:r w:rsidRPr="00347E52">
        <w:rPr>
          <w:rFonts w:ascii="Times New Roman" w:eastAsia="Times New Roman" w:hAnsi="Times New Roman" w:cs="Times New Roman"/>
          <w:kern w:val="0"/>
          <w:sz w:val="32"/>
          <w:lang w:eastAsia="en-US"/>
        </w:rPr>
        <w:t>Professor Marti G. Subrahmanyam</w:t>
      </w:r>
      <w:r w:rsidRPr="00347E52">
        <w:rPr>
          <w:rFonts w:ascii="Times New Roman" w:eastAsia="Times New Roman" w:hAnsi="Times New Roman" w:cs="Times New Roman"/>
          <w:kern w:val="0"/>
          <w:sz w:val="32"/>
          <w:lang w:eastAsia="en-US"/>
        </w:rPr>
        <w:tab/>
        <w:t>Professor Christina Wang</w:t>
      </w:r>
    </w:p>
    <w:p w14:paraId="3C6DDB4B" w14:textId="77777777" w:rsidR="00347E52" w:rsidRPr="00347E52" w:rsidRDefault="00347E52" w:rsidP="00347E52">
      <w:pPr>
        <w:spacing w:line="240" w:lineRule="auto"/>
        <w:ind w:firstLine="0"/>
        <w:rPr>
          <w:rFonts w:ascii="Times New Roman" w:eastAsia="Times New Roman" w:hAnsi="Times New Roman" w:cs="Times New Roman"/>
          <w:kern w:val="0"/>
          <w:sz w:val="32"/>
          <w:lang w:eastAsia="en-US"/>
        </w:rPr>
      </w:pPr>
      <w:r w:rsidRPr="00347E52">
        <w:rPr>
          <w:rFonts w:ascii="Times New Roman" w:eastAsia="Times New Roman" w:hAnsi="Times New Roman" w:cs="Times New Roman"/>
          <w:kern w:val="0"/>
          <w:sz w:val="32"/>
          <w:lang w:eastAsia="en-US"/>
        </w:rPr>
        <w:t>Professor Christina Wang</w:t>
      </w:r>
    </w:p>
    <w:p w14:paraId="5D82A808" w14:textId="77777777" w:rsidR="00347E52" w:rsidRPr="00347E52" w:rsidRDefault="00347E52" w:rsidP="00347E52">
      <w:pPr>
        <w:spacing w:line="240" w:lineRule="auto"/>
        <w:ind w:firstLine="0"/>
        <w:rPr>
          <w:rFonts w:ascii="Times New Roman" w:eastAsia="Times New Roman" w:hAnsi="Times New Roman" w:cs="Times New Roman"/>
          <w:kern w:val="0"/>
          <w:sz w:val="32"/>
          <w:lang w:eastAsia="en-US"/>
        </w:rPr>
      </w:pPr>
      <w:r w:rsidRPr="00347E52">
        <w:rPr>
          <w:rFonts w:ascii="Times New Roman" w:eastAsia="Times New Roman" w:hAnsi="Times New Roman" w:cs="Times New Roman"/>
          <w:kern w:val="0"/>
          <w:sz w:val="32"/>
          <w:lang w:eastAsia="en-US"/>
        </w:rPr>
        <w:t>Professor Jens Leth Hougaard</w:t>
      </w:r>
    </w:p>
    <w:p w14:paraId="7875284C" w14:textId="77777777" w:rsidR="00347E52" w:rsidRPr="00347E52" w:rsidRDefault="00347E52" w:rsidP="00347E52">
      <w:pPr>
        <w:spacing w:line="240" w:lineRule="auto"/>
        <w:ind w:firstLine="0"/>
        <w:rPr>
          <w:rFonts w:ascii="Times New Roman" w:eastAsia="Times New Roman" w:hAnsi="Times New Roman" w:cs="Times New Roman"/>
          <w:kern w:val="0"/>
          <w:sz w:val="32"/>
          <w:lang w:eastAsia="en-US"/>
        </w:rPr>
      </w:pPr>
    </w:p>
    <w:p w14:paraId="5155BA19" w14:textId="6AADD25C" w:rsidR="00347E52" w:rsidRPr="00347E52" w:rsidRDefault="00347E52" w:rsidP="00347E52">
      <w:pPr>
        <w:spacing w:line="240" w:lineRule="auto"/>
        <w:ind w:firstLine="0"/>
        <w:rPr>
          <w:rFonts w:ascii="Times New Roman" w:eastAsia="Times New Roman" w:hAnsi="Times New Roman" w:cs="Times New Roman"/>
          <w:kern w:val="0"/>
          <w:sz w:val="32"/>
          <w:lang w:eastAsia="zh-CN"/>
        </w:rPr>
      </w:pPr>
      <w:r w:rsidRPr="00347E52">
        <w:rPr>
          <w:rFonts w:ascii="Times New Roman" w:eastAsia="Times New Roman" w:hAnsi="Times New Roman" w:cs="Times New Roman"/>
          <w:kern w:val="0"/>
          <w:sz w:val="32"/>
          <w:lang w:eastAsia="en-US"/>
        </w:rPr>
        <w:t>Faculty Advisers</w:t>
      </w:r>
      <w:r w:rsidRPr="00347E52">
        <w:rPr>
          <w:rFonts w:ascii="Times New Roman" w:eastAsia="Times New Roman" w:hAnsi="Times New Roman" w:cs="Times New Roman"/>
          <w:kern w:val="0"/>
          <w:sz w:val="32"/>
          <w:lang w:eastAsia="en-US"/>
        </w:rPr>
        <w:tab/>
      </w:r>
      <w:r w:rsidRPr="00347E52">
        <w:rPr>
          <w:rFonts w:ascii="Times New Roman" w:eastAsia="Times New Roman" w:hAnsi="Times New Roman" w:cs="Times New Roman"/>
          <w:kern w:val="0"/>
          <w:sz w:val="32"/>
          <w:lang w:eastAsia="en-US"/>
        </w:rPr>
        <w:tab/>
      </w:r>
      <w:r w:rsidRPr="00347E52">
        <w:rPr>
          <w:rFonts w:ascii="Times New Roman" w:eastAsia="Times New Roman" w:hAnsi="Times New Roman" w:cs="Times New Roman"/>
          <w:kern w:val="0"/>
          <w:sz w:val="32"/>
          <w:lang w:eastAsia="en-US"/>
        </w:rPr>
        <w:tab/>
      </w:r>
      <w:r w:rsidRPr="00347E52">
        <w:rPr>
          <w:rFonts w:ascii="Times New Roman" w:eastAsia="Times New Roman" w:hAnsi="Times New Roman" w:cs="Times New Roman"/>
          <w:kern w:val="0"/>
          <w:sz w:val="32"/>
          <w:lang w:eastAsia="en-US"/>
        </w:rPr>
        <w:tab/>
        <w:t>Thesis Adviser</w:t>
      </w:r>
      <w:r w:rsidRPr="00347E52">
        <w:rPr>
          <w:rFonts w:ascii="Times New Roman" w:eastAsia="Times New Roman" w:hAnsi="Times New Roman" w:cs="Times New Roman"/>
          <w:kern w:val="0"/>
          <w:sz w:val="32"/>
          <w:lang w:eastAsia="en-US"/>
        </w:rPr>
        <w:tab/>
      </w:r>
      <w:r w:rsidRPr="00347E52">
        <w:rPr>
          <w:rFonts w:ascii="Times New Roman" w:eastAsia="Times New Roman" w:hAnsi="Times New Roman" w:cs="Times New Roman"/>
          <w:kern w:val="0"/>
          <w:sz w:val="32"/>
          <w:lang w:eastAsia="en-US"/>
        </w:rPr>
        <w:tab/>
      </w:r>
    </w:p>
    <w:sdt>
      <w:sdtPr>
        <w:rPr>
          <w:rFonts w:asciiTheme="minorHAnsi" w:eastAsiaTheme="minorEastAsia" w:hAnsiTheme="minorHAnsi" w:cstheme="minorBidi"/>
          <w:kern w:val="24"/>
          <w:szCs w:val="24"/>
          <w:lang w:eastAsia="ja-JP"/>
        </w:rPr>
        <w:id w:val="-2069870525"/>
        <w:docPartObj>
          <w:docPartGallery w:val="Table of Contents"/>
          <w:docPartUnique/>
        </w:docPartObj>
      </w:sdtPr>
      <w:sdtEndPr>
        <w:rPr>
          <w:b/>
          <w:bCs/>
          <w:noProof/>
        </w:rPr>
      </w:sdtEndPr>
      <w:sdtContent>
        <w:p w14:paraId="76076789" w14:textId="77777777" w:rsidR="0029533E" w:rsidRDefault="009E5E1B" w:rsidP="00C76886">
          <w:pPr>
            <w:pStyle w:val="TOCHeading"/>
            <w:rPr>
              <w:noProof/>
            </w:rPr>
          </w:pPr>
          <w:r w:rsidRPr="00B22457">
            <w:t>Table of Contents</w:t>
          </w:r>
          <w:r w:rsidRPr="00B22457">
            <w:fldChar w:fldCharType="begin"/>
          </w:r>
          <w:r w:rsidRPr="00B22457">
            <w:instrText xml:space="preserve"> TOC \o "1-3" \h \z \u </w:instrText>
          </w:r>
          <w:r w:rsidRPr="00B22457">
            <w:fldChar w:fldCharType="separate"/>
          </w:r>
        </w:p>
        <w:p w14:paraId="6BC988C4" w14:textId="14B7DC8D" w:rsidR="0029533E" w:rsidRPr="00AC3375" w:rsidRDefault="00C44556">
          <w:pPr>
            <w:pStyle w:val="TOC1"/>
            <w:rPr>
              <w:b w:val="0"/>
              <w:bCs w:val="0"/>
              <w:kern w:val="0"/>
              <w:lang w:val="en-CN" w:eastAsia="zh-CN"/>
            </w:rPr>
          </w:pPr>
          <w:hyperlink w:anchor="_Toc39843392" w:history="1">
            <w:r w:rsidR="0029533E" w:rsidRPr="00AC3375">
              <w:rPr>
                <w:rStyle w:val="Hyperlink"/>
                <w:b w:val="0"/>
                <w:bCs w:val="0"/>
              </w:rPr>
              <w:t>Acknowledgments</w:t>
            </w:r>
            <w:r w:rsidR="0029533E" w:rsidRPr="00AC3375">
              <w:rPr>
                <w:b w:val="0"/>
                <w:bCs w:val="0"/>
                <w:webHidden/>
              </w:rPr>
              <w:tab/>
            </w:r>
            <w:r w:rsidR="0029533E" w:rsidRPr="00AC3375">
              <w:rPr>
                <w:b w:val="0"/>
                <w:bCs w:val="0"/>
                <w:webHidden/>
              </w:rPr>
              <w:fldChar w:fldCharType="begin"/>
            </w:r>
            <w:r w:rsidR="0029533E" w:rsidRPr="00AC3375">
              <w:rPr>
                <w:b w:val="0"/>
                <w:bCs w:val="0"/>
                <w:webHidden/>
              </w:rPr>
              <w:instrText xml:space="preserve"> PAGEREF _Toc39843392 \h </w:instrText>
            </w:r>
            <w:r w:rsidR="0029533E" w:rsidRPr="00AC3375">
              <w:rPr>
                <w:b w:val="0"/>
                <w:bCs w:val="0"/>
                <w:webHidden/>
              </w:rPr>
            </w:r>
            <w:r w:rsidR="0029533E" w:rsidRPr="00AC3375">
              <w:rPr>
                <w:b w:val="0"/>
                <w:bCs w:val="0"/>
                <w:webHidden/>
              </w:rPr>
              <w:fldChar w:fldCharType="separate"/>
            </w:r>
            <w:r w:rsidR="00E05168">
              <w:rPr>
                <w:b w:val="0"/>
                <w:bCs w:val="0"/>
                <w:webHidden/>
              </w:rPr>
              <w:t>3</w:t>
            </w:r>
            <w:r w:rsidR="0029533E" w:rsidRPr="00AC3375">
              <w:rPr>
                <w:b w:val="0"/>
                <w:bCs w:val="0"/>
                <w:webHidden/>
              </w:rPr>
              <w:fldChar w:fldCharType="end"/>
            </w:r>
          </w:hyperlink>
        </w:p>
        <w:p w14:paraId="2D90B640" w14:textId="22ED967A" w:rsidR="0029533E" w:rsidRPr="00AC3375" w:rsidRDefault="00C44556">
          <w:pPr>
            <w:pStyle w:val="TOC1"/>
            <w:rPr>
              <w:b w:val="0"/>
              <w:bCs w:val="0"/>
              <w:kern w:val="0"/>
              <w:lang w:val="en-CN" w:eastAsia="zh-CN"/>
            </w:rPr>
          </w:pPr>
          <w:hyperlink w:anchor="_Toc39843393" w:history="1">
            <w:r w:rsidR="0029533E" w:rsidRPr="00AC3375">
              <w:rPr>
                <w:rStyle w:val="Hyperlink"/>
                <w:b w:val="0"/>
                <w:bCs w:val="0"/>
              </w:rPr>
              <w:t>Abstract</w:t>
            </w:r>
            <w:r w:rsidR="0029533E" w:rsidRPr="00AC3375">
              <w:rPr>
                <w:b w:val="0"/>
                <w:bCs w:val="0"/>
                <w:webHidden/>
              </w:rPr>
              <w:tab/>
            </w:r>
            <w:r w:rsidR="0029533E" w:rsidRPr="00AC3375">
              <w:rPr>
                <w:b w:val="0"/>
                <w:bCs w:val="0"/>
                <w:webHidden/>
              </w:rPr>
              <w:fldChar w:fldCharType="begin"/>
            </w:r>
            <w:r w:rsidR="0029533E" w:rsidRPr="00AC3375">
              <w:rPr>
                <w:b w:val="0"/>
                <w:bCs w:val="0"/>
                <w:webHidden/>
              </w:rPr>
              <w:instrText xml:space="preserve"> PAGEREF _Toc39843393 \h </w:instrText>
            </w:r>
            <w:r w:rsidR="0029533E" w:rsidRPr="00AC3375">
              <w:rPr>
                <w:b w:val="0"/>
                <w:bCs w:val="0"/>
                <w:webHidden/>
              </w:rPr>
            </w:r>
            <w:r w:rsidR="0029533E" w:rsidRPr="00AC3375">
              <w:rPr>
                <w:b w:val="0"/>
                <w:bCs w:val="0"/>
                <w:webHidden/>
              </w:rPr>
              <w:fldChar w:fldCharType="separate"/>
            </w:r>
            <w:r w:rsidR="00E05168">
              <w:rPr>
                <w:b w:val="0"/>
                <w:bCs w:val="0"/>
                <w:webHidden/>
              </w:rPr>
              <w:t>4</w:t>
            </w:r>
            <w:r w:rsidR="0029533E" w:rsidRPr="00AC3375">
              <w:rPr>
                <w:b w:val="0"/>
                <w:bCs w:val="0"/>
                <w:webHidden/>
              </w:rPr>
              <w:fldChar w:fldCharType="end"/>
            </w:r>
          </w:hyperlink>
        </w:p>
        <w:p w14:paraId="23AC7038" w14:textId="4DF44D66" w:rsidR="0029533E" w:rsidRPr="00AC3375" w:rsidRDefault="00C44556">
          <w:pPr>
            <w:pStyle w:val="TOC1"/>
            <w:rPr>
              <w:b w:val="0"/>
              <w:bCs w:val="0"/>
              <w:kern w:val="0"/>
              <w:lang w:val="en-CN" w:eastAsia="zh-CN"/>
            </w:rPr>
          </w:pPr>
          <w:hyperlink w:anchor="_Toc39843394" w:history="1">
            <w:r w:rsidR="0029533E" w:rsidRPr="00AC3375">
              <w:rPr>
                <w:rStyle w:val="Hyperlink"/>
                <w:b w:val="0"/>
                <w:bCs w:val="0"/>
              </w:rPr>
              <w:t>Introduction</w:t>
            </w:r>
            <w:r w:rsidR="0029533E" w:rsidRPr="00AC3375">
              <w:rPr>
                <w:b w:val="0"/>
                <w:bCs w:val="0"/>
                <w:webHidden/>
              </w:rPr>
              <w:tab/>
            </w:r>
            <w:r w:rsidR="0029533E" w:rsidRPr="00AC3375">
              <w:rPr>
                <w:b w:val="0"/>
                <w:bCs w:val="0"/>
                <w:webHidden/>
              </w:rPr>
              <w:fldChar w:fldCharType="begin"/>
            </w:r>
            <w:r w:rsidR="0029533E" w:rsidRPr="00AC3375">
              <w:rPr>
                <w:b w:val="0"/>
                <w:bCs w:val="0"/>
                <w:webHidden/>
              </w:rPr>
              <w:instrText xml:space="preserve"> PAGEREF _Toc39843394 \h </w:instrText>
            </w:r>
            <w:r w:rsidR="0029533E" w:rsidRPr="00AC3375">
              <w:rPr>
                <w:b w:val="0"/>
                <w:bCs w:val="0"/>
                <w:webHidden/>
              </w:rPr>
            </w:r>
            <w:r w:rsidR="0029533E" w:rsidRPr="00AC3375">
              <w:rPr>
                <w:b w:val="0"/>
                <w:bCs w:val="0"/>
                <w:webHidden/>
              </w:rPr>
              <w:fldChar w:fldCharType="separate"/>
            </w:r>
            <w:r w:rsidR="00E05168">
              <w:rPr>
                <w:b w:val="0"/>
                <w:bCs w:val="0"/>
                <w:webHidden/>
              </w:rPr>
              <w:t>5</w:t>
            </w:r>
            <w:r w:rsidR="0029533E" w:rsidRPr="00AC3375">
              <w:rPr>
                <w:b w:val="0"/>
                <w:bCs w:val="0"/>
                <w:webHidden/>
              </w:rPr>
              <w:fldChar w:fldCharType="end"/>
            </w:r>
          </w:hyperlink>
        </w:p>
        <w:p w14:paraId="2959EC50" w14:textId="29308E6E" w:rsidR="0029533E" w:rsidRPr="00AC3375" w:rsidRDefault="00C44556">
          <w:pPr>
            <w:pStyle w:val="TOC1"/>
            <w:rPr>
              <w:b w:val="0"/>
              <w:bCs w:val="0"/>
              <w:kern w:val="0"/>
              <w:lang w:val="en-CN" w:eastAsia="zh-CN"/>
            </w:rPr>
          </w:pPr>
          <w:hyperlink w:anchor="_Toc39843395" w:history="1">
            <w:r w:rsidR="0029533E" w:rsidRPr="00AC3375">
              <w:rPr>
                <w:rStyle w:val="Hyperlink"/>
                <w:b w:val="0"/>
                <w:bCs w:val="0"/>
              </w:rPr>
              <w:t>Data</w:t>
            </w:r>
            <w:r w:rsidR="0029533E" w:rsidRPr="00AC3375">
              <w:rPr>
                <w:b w:val="0"/>
                <w:bCs w:val="0"/>
                <w:webHidden/>
              </w:rPr>
              <w:tab/>
            </w:r>
            <w:r w:rsidR="0029533E" w:rsidRPr="00AC3375">
              <w:rPr>
                <w:b w:val="0"/>
                <w:bCs w:val="0"/>
                <w:webHidden/>
              </w:rPr>
              <w:fldChar w:fldCharType="begin"/>
            </w:r>
            <w:r w:rsidR="0029533E" w:rsidRPr="00AC3375">
              <w:rPr>
                <w:b w:val="0"/>
                <w:bCs w:val="0"/>
                <w:webHidden/>
              </w:rPr>
              <w:instrText xml:space="preserve"> PAGEREF _Toc39843395 \h </w:instrText>
            </w:r>
            <w:r w:rsidR="0029533E" w:rsidRPr="00AC3375">
              <w:rPr>
                <w:b w:val="0"/>
                <w:bCs w:val="0"/>
                <w:webHidden/>
              </w:rPr>
            </w:r>
            <w:r w:rsidR="0029533E" w:rsidRPr="00AC3375">
              <w:rPr>
                <w:b w:val="0"/>
                <w:bCs w:val="0"/>
                <w:webHidden/>
              </w:rPr>
              <w:fldChar w:fldCharType="separate"/>
            </w:r>
            <w:r w:rsidR="00E05168">
              <w:rPr>
                <w:b w:val="0"/>
                <w:bCs w:val="0"/>
                <w:webHidden/>
              </w:rPr>
              <w:t>10</w:t>
            </w:r>
            <w:r w:rsidR="0029533E" w:rsidRPr="00AC3375">
              <w:rPr>
                <w:b w:val="0"/>
                <w:bCs w:val="0"/>
                <w:webHidden/>
              </w:rPr>
              <w:fldChar w:fldCharType="end"/>
            </w:r>
          </w:hyperlink>
        </w:p>
        <w:p w14:paraId="313FA3D8" w14:textId="6ED786A1" w:rsidR="0029533E" w:rsidRPr="00AC3375" w:rsidRDefault="00C44556">
          <w:pPr>
            <w:pStyle w:val="TOC1"/>
            <w:rPr>
              <w:b w:val="0"/>
              <w:bCs w:val="0"/>
              <w:kern w:val="0"/>
              <w:lang w:val="en-CN" w:eastAsia="zh-CN"/>
            </w:rPr>
          </w:pPr>
          <w:hyperlink w:anchor="_Toc39843399" w:history="1">
            <w:r w:rsidR="0029533E" w:rsidRPr="00AC3375">
              <w:rPr>
                <w:rStyle w:val="Hyperlink"/>
                <w:b w:val="0"/>
                <w:bCs w:val="0"/>
              </w:rPr>
              <w:t>Methodology</w:t>
            </w:r>
            <w:r w:rsidR="0029533E" w:rsidRPr="00AC3375">
              <w:rPr>
                <w:b w:val="0"/>
                <w:bCs w:val="0"/>
                <w:webHidden/>
              </w:rPr>
              <w:tab/>
            </w:r>
            <w:r w:rsidR="0029533E" w:rsidRPr="00AC3375">
              <w:rPr>
                <w:b w:val="0"/>
                <w:bCs w:val="0"/>
                <w:webHidden/>
              </w:rPr>
              <w:fldChar w:fldCharType="begin"/>
            </w:r>
            <w:r w:rsidR="0029533E" w:rsidRPr="00AC3375">
              <w:rPr>
                <w:b w:val="0"/>
                <w:bCs w:val="0"/>
                <w:webHidden/>
              </w:rPr>
              <w:instrText xml:space="preserve"> PAGEREF _Toc39843399 \h </w:instrText>
            </w:r>
            <w:r w:rsidR="0029533E" w:rsidRPr="00AC3375">
              <w:rPr>
                <w:b w:val="0"/>
                <w:bCs w:val="0"/>
                <w:webHidden/>
              </w:rPr>
            </w:r>
            <w:r w:rsidR="0029533E" w:rsidRPr="00AC3375">
              <w:rPr>
                <w:b w:val="0"/>
                <w:bCs w:val="0"/>
                <w:webHidden/>
              </w:rPr>
              <w:fldChar w:fldCharType="separate"/>
            </w:r>
            <w:r w:rsidR="00E05168">
              <w:rPr>
                <w:b w:val="0"/>
                <w:bCs w:val="0"/>
                <w:webHidden/>
              </w:rPr>
              <w:t>14</w:t>
            </w:r>
            <w:r w:rsidR="0029533E" w:rsidRPr="00AC3375">
              <w:rPr>
                <w:b w:val="0"/>
                <w:bCs w:val="0"/>
                <w:webHidden/>
              </w:rPr>
              <w:fldChar w:fldCharType="end"/>
            </w:r>
          </w:hyperlink>
        </w:p>
        <w:p w14:paraId="717D71DA" w14:textId="168D9073" w:rsidR="0029533E" w:rsidRPr="00AC3375" w:rsidRDefault="00C44556">
          <w:pPr>
            <w:pStyle w:val="TOC1"/>
            <w:rPr>
              <w:b w:val="0"/>
              <w:bCs w:val="0"/>
              <w:kern w:val="0"/>
              <w:lang w:val="en-CN" w:eastAsia="zh-CN"/>
            </w:rPr>
          </w:pPr>
          <w:hyperlink w:anchor="_Toc39843400" w:history="1">
            <w:r w:rsidR="0029533E" w:rsidRPr="00AC3375">
              <w:rPr>
                <w:rStyle w:val="Hyperlink"/>
                <w:b w:val="0"/>
                <w:bCs w:val="0"/>
              </w:rPr>
              <w:t>Hypotheses</w:t>
            </w:r>
            <w:r w:rsidR="0029533E" w:rsidRPr="00AC3375">
              <w:rPr>
                <w:b w:val="0"/>
                <w:bCs w:val="0"/>
                <w:webHidden/>
              </w:rPr>
              <w:tab/>
            </w:r>
            <w:r w:rsidR="0029533E" w:rsidRPr="00AC3375">
              <w:rPr>
                <w:b w:val="0"/>
                <w:bCs w:val="0"/>
                <w:webHidden/>
              </w:rPr>
              <w:fldChar w:fldCharType="begin"/>
            </w:r>
            <w:r w:rsidR="0029533E" w:rsidRPr="00AC3375">
              <w:rPr>
                <w:b w:val="0"/>
                <w:bCs w:val="0"/>
                <w:webHidden/>
              </w:rPr>
              <w:instrText xml:space="preserve"> PAGEREF _Toc39843400 \h </w:instrText>
            </w:r>
            <w:r w:rsidR="0029533E" w:rsidRPr="00AC3375">
              <w:rPr>
                <w:b w:val="0"/>
                <w:bCs w:val="0"/>
                <w:webHidden/>
              </w:rPr>
            </w:r>
            <w:r w:rsidR="0029533E" w:rsidRPr="00AC3375">
              <w:rPr>
                <w:b w:val="0"/>
                <w:bCs w:val="0"/>
                <w:webHidden/>
              </w:rPr>
              <w:fldChar w:fldCharType="separate"/>
            </w:r>
            <w:r w:rsidR="00E05168">
              <w:rPr>
                <w:b w:val="0"/>
                <w:bCs w:val="0"/>
                <w:webHidden/>
              </w:rPr>
              <w:t>15</w:t>
            </w:r>
            <w:r w:rsidR="0029533E" w:rsidRPr="00AC3375">
              <w:rPr>
                <w:b w:val="0"/>
                <w:bCs w:val="0"/>
                <w:webHidden/>
              </w:rPr>
              <w:fldChar w:fldCharType="end"/>
            </w:r>
          </w:hyperlink>
        </w:p>
        <w:p w14:paraId="7485B6F9" w14:textId="132DA104" w:rsidR="0029533E" w:rsidRPr="00AC3375" w:rsidRDefault="00C44556">
          <w:pPr>
            <w:pStyle w:val="TOC1"/>
            <w:rPr>
              <w:b w:val="0"/>
              <w:bCs w:val="0"/>
              <w:kern w:val="0"/>
              <w:lang w:val="en-CN" w:eastAsia="zh-CN"/>
            </w:rPr>
          </w:pPr>
          <w:hyperlink w:anchor="_Toc39843401" w:history="1">
            <w:r w:rsidR="0029533E" w:rsidRPr="00AC3375">
              <w:rPr>
                <w:rStyle w:val="Hyperlink"/>
                <w:b w:val="0"/>
                <w:bCs w:val="0"/>
              </w:rPr>
              <w:t>Empirical Results</w:t>
            </w:r>
            <w:r w:rsidR="0029533E" w:rsidRPr="00AC3375">
              <w:rPr>
                <w:b w:val="0"/>
                <w:bCs w:val="0"/>
                <w:webHidden/>
              </w:rPr>
              <w:tab/>
            </w:r>
            <w:r w:rsidR="0029533E" w:rsidRPr="00AC3375">
              <w:rPr>
                <w:b w:val="0"/>
                <w:bCs w:val="0"/>
                <w:webHidden/>
              </w:rPr>
              <w:fldChar w:fldCharType="begin"/>
            </w:r>
            <w:r w:rsidR="0029533E" w:rsidRPr="00AC3375">
              <w:rPr>
                <w:b w:val="0"/>
                <w:bCs w:val="0"/>
                <w:webHidden/>
              </w:rPr>
              <w:instrText xml:space="preserve"> PAGEREF _Toc39843401 \h </w:instrText>
            </w:r>
            <w:r w:rsidR="0029533E" w:rsidRPr="00AC3375">
              <w:rPr>
                <w:b w:val="0"/>
                <w:bCs w:val="0"/>
                <w:webHidden/>
              </w:rPr>
            </w:r>
            <w:r w:rsidR="0029533E" w:rsidRPr="00AC3375">
              <w:rPr>
                <w:b w:val="0"/>
                <w:bCs w:val="0"/>
                <w:webHidden/>
              </w:rPr>
              <w:fldChar w:fldCharType="separate"/>
            </w:r>
            <w:r w:rsidR="00E05168">
              <w:rPr>
                <w:b w:val="0"/>
                <w:bCs w:val="0"/>
                <w:webHidden/>
              </w:rPr>
              <w:t>16</w:t>
            </w:r>
            <w:r w:rsidR="0029533E" w:rsidRPr="00AC3375">
              <w:rPr>
                <w:b w:val="0"/>
                <w:bCs w:val="0"/>
                <w:webHidden/>
              </w:rPr>
              <w:fldChar w:fldCharType="end"/>
            </w:r>
          </w:hyperlink>
        </w:p>
        <w:p w14:paraId="48C9552F" w14:textId="46569D20" w:rsidR="0029533E" w:rsidRPr="00AC3375" w:rsidRDefault="00C44556">
          <w:pPr>
            <w:pStyle w:val="TOC1"/>
            <w:rPr>
              <w:b w:val="0"/>
              <w:bCs w:val="0"/>
              <w:kern w:val="0"/>
              <w:lang w:val="en-CN" w:eastAsia="zh-CN"/>
            </w:rPr>
          </w:pPr>
          <w:hyperlink w:anchor="_Toc39843402" w:history="1">
            <w:r w:rsidR="0029533E" w:rsidRPr="00AC3375">
              <w:rPr>
                <w:rStyle w:val="Hyperlink"/>
                <w:b w:val="0"/>
                <w:bCs w:val="0"/>
              </w:rPr>
              <w:t>Conclusions</w:t>
            </w:r>
            <w:r w:rsidR="0029533E" w:rsidRPr="00AC3375">
              <w:rPr>
                <w:b w:val="0"/>
                <w:bCs w:val="0"/>
                <w:webHidden/>
              </w:rPr>
              <w:tab/>
            </w:r>
            <w:r w:rsidR="0029533E" w:rsidRPr="00AC3375">
              <w:rPr>
                <w:b w:val="0"/>
                <w:bCs w:val="0"/>
                <w:webHidden/>
              </w:rPr>
              <w:fldChar w:fldCharType="begin"/>
            </w:r>
            <w:r w:rsidR="0029533E" w:rsidRPr="00AC3375">
              <w:rPr>
                <w:b w:val="0"/>
                <w:bCs w:val="0"/>
                <w:webHidden/>
              </w:rPr>
              <w:instrText xml:space="preserve"> PAGEREF _Toc39843402 \h </w:instrText>
            </w:r>
            <w:r w:rsidR="0029533E" w:rsidRPr="00AC3375">
              <w:rPr>
                <w:b w:val="0"/>
                <w:bCs w:val="0"/>
                <w:webHidden/>
              </w:rPr>
            </w:r>
            <w:r w:rsidR="0029533E" w:rsidRPr="00AC3375">
              <w:rPr>
                <w:b w:val="0"/>
                <w:bCs w:val="0"/>
                <w:webHidden/>
              </w:rPr>
              <w:fldChar w:fldCharType="separate"/>
            </w:r>
            <w:r w:rsidR="00E05168">
              <w:rPr>
                <w:b w:val="0"/>
                <w:bCs w:val="0"/>
                <w:webHidden/>
              </w:rPr>
              <w:t>22</w:t>
            </w:r>
            <w:r w:rsidR="0029533E" w:rsidRPr="00AC3375">
              <w:rPr>
                <w:b w:val="0"/>
                <w:bCs w:val="0"/>
                <w:webHidden/>
              </w:rPr>
              <w:fldChar w:fldCharType="end"/>
            </w:r>
          </w:hyperlink>
        </w:p>
        <w:p w14:paraId="6ED5C71C" w14:textId="5BF8D388" w:rsidR="0029533E" w:rsidRPr="00AC3375" w:rsidRDefault="00C44556">
          <w:pPr>
            <w:pStyle w:val="TOC1"/>
            <w:rPr>
              <w:b w:val="0"/>
              <w:bCs w:val="0"/>
              <w:kern w:val="0"/>
              <w:lang w:val="en-CN" w:eastAsia="zh-CN"/>
            </w:rPr>
          </w:pPr>
          <w:hyperlink w:anchor="_Toc39843403" w:history="1">
            <w:r w:rsidR="0029533E" w:rsidRPr="00AC3375">
              <w:rPr>
                <w:rStyle w:val="Hyperlink"/>
                <w:b w:val="0"/>
                <w:bCs w:val="0"/>
              </w:rPr>
              <w:t>References</w:t>
            </w:r>
            <w:r w:rsidR="0029533E" w:rsidRPr="00AC3375">
              <w:rPr>
                <w:b w:val="0"/>
                <w:bCs w:val="0"/>
                <w:webHidden/>
              </w:rPr>
              <w:tab/>
            </w:r>
            <w:r w:rsidR="0029533E" w:rsidRPr="00AC3375">
              <w:rPr>
                <w:b w:val="0"/>
                <w:bCs w:val="0"/>
                <w:webHidden/>
              </w:rPr>
              <w:fldChar w:fldCharType="begin"/>
            </w:r>
            <w:r w:rsidR="0029533E" w:rsidRPr="00AC3375">
              <w:rPr>
                <w:b w:val="0"/>
                <w:bCs w:val="0"/>
                <w:webHidden/>
              </w:rPr>
              <w:instrText xml:space="preserve"> PAGEREF _Toc39843403 \h </w:instrText>
            </w:r>
            <w:r w:rsidR="0029533E" w:rsidRPr="00AC3375">
              <w:rPr>
                <w:b w:val="0"/>
                <w:bCs w:val="0"/>
                <w:webHidden/>
              </w:rPr>
            </w:r>
            <w:r w:rsidR="0029533E" w:rsidRPr="00AC3375">
              <w:rPr>
                <w:b w:val="0"/>
                <w:bCs w:val="0"/>
                <w:webHidden/>
              </w:rPr>
              <w:fldChar w:fldCharType="separate"/>
            </w:r>
            <w:r w:rsidR="00E05168">
              <w:rPr>
                <w:b w:val="0"/>
                <w:bCs w:val="0"/>
                <w:webHidden/>
              </w:rPr>
              <w:t>24</w:t>
            </w:r>
            <w:r w:rsidR="0029533E" w:rsidRPr="00AC3375">
              <w:rPr>
                <w:b w:val="0"/>
                <w:bCs w:val="0"/>
                <w:webHidden/>
              </w:rPr>
              <w:fldChar w:fldCharType="end"/>
            </w:r>
          </w:hyperlink>
        </w:p>
        <w:p w14:paraId="1A44719D" w14:textId="4095C871" w:rsidR="0029533E" w:rsidRPr="00AC3375" w:rsidRDefault="00C44556">
          <w:pPr>
            <w:pStyle w:val="TOC1"/>
            <w:rPr>
              <w:b w:val="0"/>
              <w:bCs w:val="0"/>
              <w:kern w:val="0"/>
              <w:lang w:val="en-CN" w:eastAsia="zh-CN"/>
            </w:rPr>
          </w:pPr>
          <w:hyperlink w:anchor="_Toc39843404" w:history="1">
            <w:r w:rsidR="0029533E" w:rsidRPr="00AC3375">
              <w:rPr>
                <w:rStyle w:val="Hyperlink"/>
                <w:b w:val="0"/>
                <w:bCs w:val="0"/>
              </w:rPr>
              <w:t>Appendix</w:t>
            </w:r>
            <w:r w:rsidR="0029533E" w:rsidRPr="00AC3375">
              <w:rPr>
                <w:b w:val="0"/>
                <w:bCs w:val="0"/>
                <w:webHidden/>
              </w:rPr>
              <w:tab/>
            </w:r>
            <w:r w:rsidR="0029533E" w:rsidRPr="00AC3375">
              <w:rPr>
                <w:b w:val="0"/>
                <w:bCs w:val="0"/>
                <w:webHidden/>
              </w:rPr>
              <w:fldChar w:fldCharType="begin"/>
            </w:r>
            <w:r w:rsidR="0029533E" w:rsidRPr="00AC3375">
              <w:rPr>
                <w:b w:val="0"/>
                <w:bCs w:val="0"/>
                <w:webHidden/>
              </w:rPr>
              <w:instrText xml:space="preserve"> PAGEREF _Toc39843404 \h </w:instrText>
            </w:r>
            <w:r w:rsidR="0029533E" w:rsidRPr="00AC3375">
              <w:rPr>
                <w:b w:val="0"/>
                <w:bCs w:val="0"/>
                <w:webHidden/>
              </w:rPr>
            </w:r>
            <w:r w:rsidR="0029533E" w:rsidRPr="00AC3375">
              <w:rPr>
                <w:b w:val="0"/>
                <w:bCs w:val="0"/>
                <w:webHidden/>
              </w:rPr>
              <w:fldChar w:fldCharType="separate"/>
            </w:r>
            <w:r w:rsidR="00E05168">
              <w:rPr>
                <w:b w:val="0"/>
                <w:bCs w:val="0"/>
                <w:webHidden/>
              </w:rPr>
              <w:t>26</w:t>
            </w:r>
            <w:r w:rsidR="0029533E" w:rsidRPr="00AC3375">
              <w:rPr>
                <w:b w:val="0"/>
                <w:bCs w:val="0"/>
                <w:webHidden/>
              </w:rPr>
              <w:fldChar w:fldCharType="end"/>
            </w:r>
          </w:hyperlink>
        </w:p>
        <w:p w14:paraId="323519E5" w14:textId="68FF8FF9" w:rsidR="0027453D" w:rsidRDefault="009E5E1B">
          <w:pPr>
            <w:ind w:firstLine="0"/>
          </w:pPr>
          <w:r w:rsidRPr="00B22457">
            <w:rPr>
              <w:noProof/>
            </w:rPr>
            <w:fldChar w:fldCharType="end"/>
          </w:r>
        </w:p>
      </w:sdtContent>
    </w:sdt>
    <w:p w14:paraId="4687AD24" w14:textId="77777777" w:rsidR="00825938" w:rsidRDefault="00825938">
      <w:pPr>
        <w:rPr>
          <w:rFonts w:asciiTheme="majorHAnsi" w:eastAsiaTheme="majorEastAsia" w:hAnsiTheme="majorHAnsi" w:cstheme="majorBidi"/>
          <w:b/>
          <w:bCs/>
        </w:rPr>
      </w:pPr>
      <w:r>
        <w:rPr>
          <w:b/>
          <w:bCs/>
        </w:rPr>
        <w:br w:type="page"/>
      </w:r>
    </w:p>
    <w:p w14:paraId="21B96591" w14:textId="77777777" w:rsidR="00825938" w:rsidRDefault="00825938" w:rsidP="00825938">
      <w:pPr>
        <w:pStyle w:val="SectionTitle"/>
        <w:rPr>
          <w:b/>
          <w:bCs/>
        </w:rPr>
      </w:pPr>
      <w:bookmarkStart w:id="4" w:name="_Toc39843392"/>
      <w:r>
        <w:rPr>
          <w:b/>
          <w:bCs/>
        </w:rPr>
        <w:lastRenderedPageBreak/>
        <w:t>Acknowledgments</w:t>
      </w:r>
      <w:bookmarkEnd w:id="4"/>
    </w:p>
    <w:p w14:paraId="607A4118" w14:textId="6A7CE6D2" w:rsidR="00825938" w:rsidRDefault="00825938" w:rsidP="002A3444">
      <w:pPr>
        <w:ind w:firstLine="0"/>
        <w:rPr>
          <w:rFonts w:asciiTheme="majorHAnsi" w:eastAsiaTheme="majorEastAsia" w:hAnsiTheme="majorHAnsi" w:cstheme="majorBidi"/>
          <w:b/>
          <w:bCs/>
        </w:rPr>
      </w:pPr>
      <w:r w:rsidRPr="003F74A2">
        <w:rPr>
          <w:rFonts w:asciiTheme="majorHAnsi" w:eastAsiaTheme="majorEastAsia" w:hAnsiTheme="majorHAnsi" w:cstheme="majorBidi"/>
          <w:lang w:val="en-CN" w:eastAsia="zh-CN"/>
        </w:rPr>
        <w:t xml:space="preserve">First and foremost, I would like to thank my thesis advisor, Professor </w:t>
      </w:r>
      <w:r>
        <w:rPr>
          <w:rFonts w:asciiTheme="majorHAnsi" w:eastAsiaTheme="majorEastAsia" w:hAnsiTheme="majorHAnsi" w:cstheme="majorBidi"/>
          <w:lang w:eastAsia="zh-CN"/>
        </w:rPr>
        <w:t>Christina Wang</w:t>
      </w:r>
      <w:r w:rsidRPr="003F74A2">
        <w:rPr>
          <w:rFonts w:asciiTheme="majorHAnsi" w:eastAsiaTheme="majorEastAsia" w:hAnsiTheme="majorHAnsi" w:cstheme="majorBidi"/>
          <w:lang w:val="en-CN" w:eastAsia="zh-CN"/>
        </w:rPr>
        <w:t xml:space="preserve">, for </w:t>
      </w:r>
      <w:r>
        <w:rPr>
          <w:rFonts w:asciiTheme="majorHAnsi" w:eastAsiaTheme="majorEastAsia" w:hAnsiTheme="majorHAnsi" w:cstheme="majorBidi"/>
          <w:lang w:eastAsia="zh-CN"/>
        </w:rPr>
        <w:t xml:space="preserve">her </w:t>
      </w:r>
      <w:r w:rsidRPr="003F74A2">
        <w:rPr>
          <w:rFonts w:asciiTheme="majorHAnsi" w:eastAsiaTheme="majorEastAsia" w:hAnsiTheme="majorHAnsi" w:cstheme="majorBidi"/>
          <w:lang w:val="en-CN" w:eastAsia="zh-CN"/>
        </w:rPr>
        <w:t>support and guidance through</w:t>
      </w:r>
      <w:r>
        <w:rPr>
          <w:rFonts w:asciiTheme="majorHAnsi" w:eastAsiaTheme="majorEastAsia" w:hAnsiTheme="majorHAnsi" w:cstheme="majorBidi"/>
          <w:lang w:eastAsia="zh-CN"/>
        </w:rPr>
        <w:t>out</w:t>
      </w:r>
      <w:r w:rsidRPr="003F74A2">
        <w:rPr>
          <w:rFonts w:asciiTheme="majorHAnsi" w:eastAsiaTheme="majorEastAsia" w:hAnsiTheme="majorHAnsi" w:cstheme="majorBidi"/>
          <w:lang w:val="en-CN" w:eastAsia="zh-CN"/>
        </w:rPr>
        <w:t xml:space="preserve"> the entire year of my research</w:t>
      </w:r>
      <w:r>
        <w:rPr>
          <w:rFonts w:asciiTheme="majorHAnsi" w:eastAsiaTheme="majorEastAsia" w:hAnsiTheme="majorHAnsi" w:cstheme="majorBidi"/>
          <w:lang w:eastAsia="zh-CN"/>
        </w:rPr>
        <w:t xml:space="preserve"> process. Her insights in Quantitative Finance</w:t>
      </w:r>
      <w:r w:rsidRPr="003F74A2">
        <w:rPr>
          <w:rFonts w:asciiTheme="majorHAnsi" w:eastAsiaTheme="majorEastAsia" w:hAnsiTheme="majorHAnsi" w:cstheme="majorBidi"/>
          <w:lang w:val="en-CN" w:eastAsia="zh-CN"/>
        </w:rPr>
        <w:t xml:space="preserve"> and advice for </w:t>
      </w:r>
      <w:r>
        <w:rPr>
          <w:rFonts w:asciiTheme="majorHAnsi" w:eastAsiaTheme="majorEastAsia" w:hAnsiTheme="majorHAnsi" w:cstheme="majorBidi"/>
          <w:lang w:eastAsia="zh-CN"/>
        </w:rPr>
        <w:t>research direction</w:t>
      </w:r>
      <w:r w:rsidRPr="003F74A2">
        <w:rPr>
          <w:rFonts w:asciiTheme="majorHAnsi" w:eastAsiaTheme="majorEastAsia" w:hAnsiTheme="majorHAnsi" w:cstheme="majorBidi"/>
          <w:lang w:val="en-CN" w:eastAsia="zh-CN"/>
        </w:rPr>
        <w:t xml:space="preserve"> has been invaluable to my </w:t>
      </w:r>
      <w:r>
        <w:rPr>
          <w:rFonts w:asciiTheme="majorHAnsi" w:eastAsiaTheme="majorEastAsia" w:hAnsiTheme="majorHAnsi" w:cstheme="majorBidi"/>
          <w:lang w:eastAsia="zh-CN"/>
        </w:rPr>
        <w:t>thesis</w:t>
      </w:r>
      <w:r w:rsidRPr="003F74A2">
        <w:rPr>
          <w:rFonts w:asciiTheme="majorHAnsi" w:eastAsiaTheme="majorEastAsia" w:hAnsiTheme="majorHAnsi" w:cstheme="majorBidi"/>
          <w:lang w:val="en-CN" w:eastAsia="zh-CN"/>
        </w:rPr>
        <w:t>. I would also like</w:t>
      </w:r>
      <w:r>
        <w:rPr>
          <w:rFonts w:asciiTheme="majorHAnsi" w:eastAsiaTheme="majorEastAsia" w:hAnsiTheme="majorHAnsi" w:cstheme="majorBidi"/>
          <w:lang w:eastAsia="zh-CN"/>
        </w:rPr>
        <w:t xml:space="preserve"> </w:t>
      </w:r>
      <w:r w:rsidRPr="003F74A2">
        <w:rPr>
          <w:rFonts w:asciiTheme="majorHAnsi" w:eastAsiaTheme="majorEastAsia" w:hAnsiTheme="majorHAnsi" w:cstheme="majorBidi"/>
          <w:lang w:val="en-CN" w:eastAsia="zh-CN"/>
        </w:rPr>
        <w:t xml:space="preserve">to thank </w:t>
      </w:r>
      <w:r>
        <w:rPr>
          <w:rFonts w:asciiTheme="majorHAnsi" w:eastAsiaTheme="majorEastAsia" w:hAnsiTheme="majorHAnsi" w:cstheme="majorBidi"/>
          <w:lang w:eastAsia="zh-CN"/>
        </w:rPr>
        <w:t>our TA, Ms. Xinyi Yang</w:t>
      </w:r>
      <w:r w:rsidRPr="003F74A2">
        <w:rPr>
          <w:rFonts w:asciiTheme="majorHAnsi" w:eastAsiaTheme="majorEastAsia" w:hAnsiTheme="majorHAnsi" w:cstheme="majorBidi"/>
          <w:lang w:val="en-CN" w:eastAsia="zh-CN"/>
        </w:rPr>
        <w:t xml:space="preserve"> for </w:t>
      </w:r>
      <w:r>
        <w:rPr>
          <w:rFonts w:asciiTheme="majorHAnsi" w:eastAsiaTheme="majorEastAsia" w:hAnsiTheme="majorHAnsi" w:cstheme="majorBidi"/>
          <w:lang w:eastAsia="zh-CN"/>
        </w:rPr>
        <w:t xml:space="preserve">her </w:t>
      </w:r>
      <w:r w:rsidRPr="003F74A2">
        <w:rPr>
          <w:rFonts w:asciiTheme="majorHAnsi" w:eastAsiaTheme="majorEastAsia" w:hAnsiTheme="majorHAnsi" w:cstheme="majorBidi"/>
          <w:lang w:val="en-CN" w:eastAsia="zh-CN"/>
        </w:rPr>
        <w:t xml:space="preserve">organization and commitment to </w:t>
      </w:r>
      <w:r>
        <w:rPr>
          <w:rFonts w:asciiTheme="majorHAnsi" w:eastAsiaTheme="majorEastAsia" w:hAnsiTheme="majorHAnsi" w:cstheme="majorBidi"/>
          <w:lang w:eastAsia="zh-CN"/>
        </w:rPr>
        <w:t xml:space="preserve">NYU Shanghai Business and Economics </w:t>
      </w:r>
      <w:r w:rsidRPr="003F74A2">
        <w:rPr>
          <w:rFonts w:asciiTheme="majorHAnsi" w:eastAsiaTheme="majorEastAsia" w:hAnsiTheme="majorHAnsi" w:cstheme="majorBidi"/>
          <w:lang w:val="en-CN" w:eastAsia="zh-CN"/>
        </w:rPr>
        <w:t>Honors program. Finally, I would like</w:t>
      </w:r>
      <w:r>
        <w:rPr>
          <w:rFonts w:asciiTheme="majorHAnsi" w:eastAsiaTheme="majorEastAsia" w:hAnsiTheme="majorHAnsi" w:cstheme="majorBidi"/>
          <w:lang w:eastAsia="zh-CN"/>
        </w:rPr>
        <w:t xml:space="preserve"> </w:t>
      </w:r>
      <w:r w:rsidRPr="003F74A2">
        <w:rPr>
          <w:rFonts w:asciiTheme="majorHAnsi" w:eastAsiaTheme="majorEastAsia" w:hAnsiTheme="majorHAnsi" w:cstheme="majorBidi"/>
          <w:lang w:val="en-CN" w:eastAsia="zh-CN"/>
        </w:rPr>
        <w:t xml:space="preserve">to thank my </w:t>
      </w:r>
      <w:r>
        <w:rPr>
          <w:rFonts w:asciiTheme="majorHAnsi" w:eastAsiaTheme="majorEastAsia" w:hAnsiTheme="majorHAnsi" w:cstheme="majorBidi"/>
          <w:lang w:eastAsia="zh-CN"/>
        </w:rPr>
        <w:t xml:space="preserve">friends and family for their supports </w:t>
      </w:r>
      <w:r w:rsidR="00C04FD3">
        <w:rPr>
          <w:rFonts w:asciiTheme="majorHAnsi" w:eastAsiaTheme="majorEastAsia" w:hAnsiTheme="majorHAnsi" w:cstheme="majorBidi"/>
          <w:lang w:eastAsia="zh-CN"/>
        </w:rPr>
        <w:t xml:space="preserve">and encouragements. </w:t>
      </w:r>
    </w:p>
    <w:p w14:paraId="3A2F4055" w14:textId="5E0A1119" w:rsidR="0027453D" w:rsidRPr="00043367" w:rsidRDefault="009E5E1B">
      <w:pPr>
        <w:pStyle w:val="SectionTitle"/>
        <w:rPr>
          <w:b/>
          <w:bCs/>
        </w:rPr>
      </w:pPr>
      <w:bookmarkStart w:id="5" w:name="_Toc39843393"/>
      <w:r w:rsidRPr="00043367">
        <w:rPr>
          <w:b/>
          <w:bCs/>
        </w:rPr>
        <w:lastRenderedPageBreak/>
        <w:t>Abstract</w:t>
      </w:r>
      <w:bookmarkEnd w:id="5"/>
    </w:p>
    <w:p w14:paraId="5D18AF4C" w14:textId="64DEC7D0" w:rsidR="00B22457" w:rsidRPr="003E07E4" w:rsidRDefault="0024195E" w:rsidP="007C6D6C">
      <w:pPr>
        <w:ind w:firstLine="0"/>
        <w:rPr>
          <w:lang w:eastAsia="zh-CN"/>
        </w:rPr>
      </w:pPr>
      <w:r w:rsidRPr="0024195E">
        <w:rPr>
          <w:lang w:eastAsia="zh-CN"/>
        </w:rPr>
        <w:t xml:space="preserve">This thesis constructs and studies the VIX-type implied volatility of the Shanghai Stock Exchange </w:t>
      </w:r>
      <w:r w:rsidR="00E06F34">
        <w:rPr>
          <w:lang w:eastAsia="zh-CN"/>
        </w:rPr>
        <w:t xml:space="preserve">(SSE) </w:t>
      </w:r>
      <w:r w:rsidRPr="0024195E">
        <w:rPr>
          <w:lang w:eastAsia="zh-CN"/>
        </w:rPr>
        <w:t>50 ETF Option (IV)</w:t>
      </w:r>
      <w:r w:rsidR="00E06F34">
        <w:rPr>
          <w:lang w:eastAsia="zh-CN"/>
        </w:rPr>
        <w:t>. I examine the</w:t>
      </w:r>
      <w:r w:rsidRPr="0024195E">
        <w:rPr>
          <w:lang w:eastAsia="zh-CN"/>
        </w:rPr>
        <w:t xml:space="preserve"> correlation </w:t>
      </w:r>
      <w:r w:rsidR="00E06F34">
        <w:rPr>
          <w:lang w:eastAsia="zh-CN"/>
        </w:rPr>
        <w:t xml:space="preserve">between IV and the </w:t>
      </w:r>
      <w:r w:rsidRPr="0024195E">
        <w:rPr>
          <w:lang w:eastAsia="zh-CN"/>
        </w:rPr>
        <w:t xml:space="preserve">underlying price </w:t>
      </w:r>
      <w:r w:rsidR="00E06F34">
        <w:rPr>
          <w:lang w:eastAsia="zh-CN"/>
        </w:rPr>
        <w:t>of SSE 50 ETF with intraday data from February 2018 to April 2020</w:t>
      </w:r>
      <w:r w:rsidR="00E06F34" w:rsidRPr="0024195E">
        <w:rPr>
          <w:lang w:eastAsia="zh-CN"/>
        </w:rPr>
        <w:t xml:space="preserve">. </w:t>
      </w:r>
      <w:r w:rsidR="00E06F34">
        <w:rPr>
          <w:lang w:eastAsia="zh-CN"/>
        </w:rPr>
        <w:t xml:space="preserve">I further investigate whether IV can </w:t>
      </w:r>
      <w:r w:rsidR="00EA421B">
        <w:rPr>
          <w:lang w:eastAsia="zh-CN"/>
        </w:rPr>
        <w:t xml:space="preserve">be used to </w:t>
      </w:r>
      <w:r w:rsidR="00E06F34">
        <w:rPr>
          <w:lang w:eastAsia="zh-CN"/>
        </w:rPr>
        <w:t xml:space="preserve">predict </w:t>
      </w:r>
      <w:r w:rsidRPr="0024195E">
        <w:rPr>
          <w:lang w:eastAsia="zh-CN"/>
        </w:rPr>
        <w:t>future realized volatility</w:t>
      </w:r>
      <w:r w:rsidR="00107C04">
        <w:rPr>
          <w:lang w:eastAsia="zh-CN"/>
        </w:rPr>
        <w:t xml:space="preserve"> of </w:t>
      </w:r>
      <w:r w:rsidR="00EA421B">
        <w:rPr>
          <w:lang w:eastAsia="zh-CN"/>
        </w:rPr>
        <w:t xml:space="preserve">its underlying – </w:t>
      </w:r>
      <w:r w:rsidR="00107C04">
        <w:rPr>
          <w:lang w:eastAsia="zh-CN"/>
        </w:rPr>
        <w:t>SSE 50 ETF</w:t>
      </w:r>
      <w:r w:rsidRPr="0024195E">
        <w:rPr>
          <w:lang w:eastAsia="zh-CN"/>
        </w:rPr>
        <w:t xml:space="preserve">. The correlation between IV and price is observed to be significantly positive in a subsample parallel to the period when US-China trade friction persists. In contrast, this correlation becomes negative during large shocks, such as the outbreak of COVID-19. This thesis also constructs a GARCH (1,1) forecasted volatility index </w:t>
      </w:r>
      <w:r w:rsidR="00EA421B">
        <w:rPr>
          <w:lang w:eastAsia="zh-CN"/>
        </w:rPr>
        <w:t xml:space="preserve">with daily returns of SSE 50 ETF </w:t>
      </w:r>
      <w:r w:rsidRPr="0024195E">
        <w:rPr>
          <w:lang w:eastAsia="zh-CN"/>
        </w:rPr>
        <w:t>and compares</w:t>
      </w:r>
      <w:r w:rsidR="00EA421B">
        <w:rPr>
          <w:lang w:eastAsia="zh-CN"/>
        </w:rPr>
        <w:t xml:space="preserve"> the </w:t>
      </w:r>
      <w:r w:rsidRPr="0024195E">
        <w:rPr>
          <w:lang w:eastAsia="zh-CN"/>
        </w:rPr>
        <w:t xml:space="preserve">predictive power </w:t>
      </w:r>
      <w:r w:rsidR="00EA421B">
        <w:rPr>
          <w:lang w:eastAsia="zh-CN"/>
        </w:rPr>
        <w:t xml:space="preserve">of </w:t>
      </w:r>
      <w:r w:rsidR="00EA421B" w:rsidRPr="0024195E">
        <w:rPr>
          <w:lang w:eastAsia="zh-CN"/>
        </w:rPr>
        <w:t xml:space="preserve">GARCH (1,1) forecasted volatility </w:t>
      </w:r>
      <w:r w:rsidRPr="0024195E">
        <w:rPr>
          <w:lang w:eastAsia="zh-CN"/>
        </w:rPr>
        <w:t xml:space="preserve">with that of </w:t>
      </w:r>
      <w:r w:rsidR="00EA421B">
        <w:rPr>
          <w:lang w:eastAsia="zh-CN"/>
        </w:rPr>
        <w:t>IV</w:t>
      </w:r>
      <w:r w:rsidRPr="0024195E">
        <w:rPr>
          <w:lang w:eastAsia="zh-CN"/>
        </w:rPr>
        <w:t xml:space="preserve">. </w:t>
      </w:r>
      <w:r w:rsidR="00107C04">
        <w:rPr>
          <w:lang w:eastAsia="zh-CN"/>
        </w:rPr>
        <w:t xml:space="preserve">Regression results </w:t>
      </w:r>
      <w:r w:rsidRPr="0024195E">
        <w:rPr>
          <w:lang w:eastAsia="zh-CN"/>
        </w:rPr>
        <w:t>show that both IV and GARCH (1,1) forecasted volatility contain predictive power for future realized volatility</w:t>
      </w:r>
      <w:r w:rsidR="00EA421B">
        <w:rPr>
          <w:lang w:eastAsia="zh-CN"/>
        </w:rPr>
        <w:t xml:space="preserve"> of SSE 50 ETF while</w:t>
      </w:r>
      <w:r w:rsidRPr="0024195E">
        <w:rPr>
          <w:lang w:eastAsia="zh-CN"/>
        </w:rPr>
        <w:t xml:space="preserve"> IV is</w:t>
      </w:r>
      <w:r w:rsidR="00EA421B">
        <w:rPr>
          <w:lang w:eastAsia="zh-CN"/>
        </w:rPr>
        <w:t xml:space="preserve"> </w:t>
      </w:r>
      <w:r w:rsidRPr="0024195E">
        <w:rPr>
          <w:lang w:eastAsia="zh-CN"/>
        </w:rPr>
        <w:t>a superior predictor.</w:t>
      </w:r>
    </w:p>
    <w:p w14:paraId="0E4562B9" w14:textId="3E630004" w:rsidR="00CA08AF" w:rsidRDefault="009E5E1B">
      <w:r>
        <w:rPr>
          <w:rStyle w:val="Emphasis"/>
        </w:rPr>
        <w:t>Keywords</w:t>
      </w:r>
      <w:r w:rsidR="00A458F5">
        <w:t xml:space="preserve">: </w:t>
      </w:r>
      <w:r w:rsidR="00D6791C">
        <w:t xml:space="preserve">Implied </w:t>
      </w:r>
      <w:r w:rsidR="0097116F">
        <w:t>v</w:t>
      </w:r>
      <w:r w:rsidR="00D6791C">
        <w:t xml:space="preserve">olatility, SSE 50 ETF, </w:t>
      </w:r>
      <w:r w:rsidR="008F4B4F">
        <w:t xml:space="preserve">Volatility </w:t>
      </w:r>
      <w:r w:rsidR="00845BC1">
        <w:t>prediction</w:t>
      </w:r>
    </w:p>
    <w:p w14:paraId="46641B3C" w14:textId="5870744D" w:rsidR="003F74A2" w:rsidRPr="009964CD" w:rsidRDefault="00CA08AF" w:rsidP="003F74A2">
      <w:pPr>
        <w:ind w:firstLine="0"/>
        <w:rPr>
          <w:lang w:eastAsia="zh-CN"/>
        </w:rPr>
      </w:pPr>
      <w:r>
        <w:br w:type="page"/>
      </w:r>
    </w:p>
    <w:p w14:paraId="1D29280A" w14:textId="03A75B3E" w:rsidR="0027453D" w:rsidRDefault="00CA08AF" w:rsidP="00313348">
      <w:pPr>
        <w:pStyle w:val="Heading1"/>
      </w:pPr>
      <w:bookmarkStart w:id="6" w:name="_Toc39843394"/>
      <w:r>
        <w:lastRenderedPageBreak/>
        <w:t>Introduction</w:t>
      </w:r>
      <w:bookmarkEnd w:id="6"/>
    </w:p>
    <w:p w14:paraId="27390F03" w14:textId="1CADABA6" w:rsidR="00EB28CF" w:rsidRDefault="000278A8" w:rsidP="00EB28CF">
      <w:r>
        <w:t>Option i</w:t>
      </w:r>
      <w:r w:rsidR="000173A8">
        <w:t>mplied volatility</w:t>
      </w:r>
      <w:r w:rsidR="00381EC2" w:rsidRPr="00381EC2">
        <w:t xml:space="preserve"> is widely believed to be the market’s estimate </w:t>
      </w:r>
      <w:r w:rsidR="00EB28CF">
        <w:t xml:space="preserve">for </w:t>
      </w:r>
      <w:r w:rsidR="00381EC2" w:rsidRPr="00381EC2">
        <w:t>the future volatility of the underlying asset over the remaining period of the option. A considerable amount of research has been made to investigate the true predictive power of implied volatility</w:t>
      </w:r>
      <w:r w:rsidR="002F6BEC">
        <w:t xml:space="preserve"> (IV)</w:t>
      </w:r>
      <w:r w:rsidR="00381EC2" w:rsidRPr="00381EC2">
        <w:t xml:space="preserve">. In general, early papers document that implied volatility is an inefficient predictor for future volatility, while more recent studies suggest that IV is a strong predictor. Day and Lewis (1992) finds that historical volatility contains greater predictive power about future volatility than implied volatility. Similar results are found </w:t>
      </w:r>
      <w:r w:rsidR="00007138">
        <w:t>in a different</w:t>
      </w:r>
      <w:r w:rsidR="00007138" w:rsidRPr="00381EC2">
        <w:t xml:space="preserve"> sample period </w:t>
      </w:r>
      <w:r w:rsidR="00007138">
        <w:t xml:space="preserve">that </w:t>
      </w:r>
      <w:r w:rsidR="00381EC2" w:rsidRPr="00381EC2">
        <w:t xml:space="preserve">implied volatility almost does not correlate with future volatility; neither reflects recent observed realized volatility (Canina and Figlewski, 1993). </w:t>
      </w:r>
      <w:r w:rsidR="001F4C7A">
        <w:rPr>
          <w:lang w:eastAsia="zh-CN"/>
        </w:rPr>
        <w:t xml:space="preserve">However, more </w:t>
      </w:r>
      <w:r w:rsidR="00381EC2" w:rsidRPr="00381EC2">
        <w:t>recent studies show that implied volatility</w:t>
      </w:r>
      <w:r w:rsidR="00EB28CF">
        <w:t xml:space="preserve"> contains strong predictive power</w:t>
      </w:r>
      <w:r w:rsidR="00381EC2" w:rsidRPr="00381EC2">
        <w:t>. Szakmary et al. (2003) uses data from 35 future option markets and suggests that implied volatility outperforms historical volatilit</w:t>
      </w:r>
      <w:r w:rsidR="001F4C7A">
        <w:t>y</w:t>
      </w:r>
      <w:r w:rsidR="00381EC2" w:rsidRPr="00381EC2">
        <w:t xml:space="preserve"> as a predictor for a vast majority of the commodities in their study. Becker, Clements, and White (2009) finds that </w:t>
      </w:r>
      <w:r w:rsidR="00B077D1">
        <w:t>implied volatility</w:t>
      </w:r>
      <w:r w:rsidR="00381EC2" w:rsidRPr="00381EC2">
        <w:t xml:space="preserve"> of S&amp;P 500 index options can anticipate the impact of non-continuous price changes in the S&amp;P 500 index. </w:t>
      </w:r>
    </w:p>
    <w:p w14:paraId="2E312472" w14:textId="6C6AD495" w:rsidR="000278A8" w:rsidRDefault="00722F19" w:rsidP="00EB28CF">
      <w:r w:rsidRPr="00722F19">
        <w:t xml:space="preserve">One thing notable here is that early research commonly uses the “old VIX” – VXO index or some similar calculations based on the Black-Scholes formula, as the measure of implied volatility. Specifically, the VXO index is based on 8 at-the-money calls and puts on the OEX index (S&amp;P 100) and uses the Black-Scholes model to extract the implied volatilities. However, more recent studies use the revised model-free VIX as the implied volatility that researchers work with. </w:t>
      </w:r>
      <w:r w:rsidR="000278A8">
        <w:rPr>
          <w:color w:val="212121"/>
        </w:rPr>
        <w:t>R</w:t>
      </w:r>
      <w:r w:rsidR="000278A8" w:rsidRPr="00381EC2">
        <w:rPr>
          <w:color w:val="212121"/>
        </w:rPr>
        <w:t xml:space="preserve">evised </w:t>
      </w:r>
      <w:r w:rsidR="000278A8">
        <w:rPr>
          <w:color w:val="212121"/>
        </w:rPr>
        <w:t>to incorporate more traded options,</w:t>
      </w:r>
      <w:r w:rsidR="000278A8" w:rsidRPr="00381EC2">
        <w:rPr>
          <w:color w:val="212121"/>
        </w:rPr>
        <w:t xml:space="preserve"> the current VIX index takes as inputs all the put and call options written on S&amp;P 500 index (SPX) for near and next term with more than </w:t>
      </w:r>
      <w:r w:rsidR="000278A8" w:rsidRPr="00381EC2">
        <w:rPr>
          <w:color w:val="212121"/>
        </w:rPr>
        <w:lastRenderedPageBreak/>
        <w:t>23 days and less than 37 days to expiration</w:t>
      </w:r>
      <w:r w:rsidR="0060325A">
        <w:rPr>
          <w:color w:val="212121"/>
        </w:rPr>
        <w:t xml:space="preserve"> </w:t>
      </w:r>
      <w:r w:rsidR="000278A8" w:rsidRPr="00381EC2">
        <w:rPr>
          <w:color w:val="212121"/>
        </w:rPr>
        <w:t xml:space="preserve">and </w:t>
      </w:r>
      <w:r w:rsidR="00B077D1" w:rsidRPr="00B077D1">
        <w:rPr>
          <w:color w:val="212121"/>
        </w:rPr>
        <w:t>then weight</w:t>
      </w:r>
      <w:r w:rsidR="00B077D1">
        <w:rPr>
          <w:color w:val="212121"/>
        </w:rPr>
        <w:t xml:space="preserve">s the options </w:t>
      </w:r>
      <w:r w:rsidR="00B077D1" w:rsidRPr="00B077D1">
        <w:rPr>
          <w:color w:val="212121"/>
        </w:rPr>
        <w:t xml:space="preserve">to yield a constant maturity 30-day </w:t>
      </w:r>
      <w:r w:rsidR="00B077D1">
        <w:rPr>
          <w:color w:val="212121"/>
        </w:rPr>
        <w:t xml:space="preserve">indicator </w:t>
      </w:r>
      <w:r w:rsidR="00B077D1" w:rsidRPr="00B077D1">
        <w:rPr>
          <w:color w:val="212121"/>
        </w:rPr>
        <w:t>of the expected volatility of the S&amp;P 500 Index.</w:t>
      </w:r>
      <w:r w:rsidR="0060325A">
        <w:rPr>
          <w:rStyle w:val="FootnoteReference"/>
          <w:color w:val="212121"/>
        </w:rPr>
        <w:footnoteReference w:id="1"/>
      </w:r>
      <w:r w:rsidR="000278A8" w:rsidRPr="00381EC2">
        <w:t xml:space="preserve"> </w:t>
      </w:r>
    </w:p>
    <w:p w14:paraId="3FB18AA6" w14:textId="2CFE8306" w:rsidR="000278A8" w:rsidRPr="0060325A" w:rsidRDefault="00381EC2" w:rsidP="0060325A">
      <w:r w:rsidRPr="00381EC2">
        <w:rPr>
          <w:color w:val="212121"/>
        </w:rPr>
        <w:t>A similar implied volatility measure was once introduced to the Chinese financial market, but</w:t>
      </w:r>
      <w:r w:rsidR="00722F19">
        <w:rPr>
          <w:color w:val="212121"/>
        </w:rPr>
        <w:t xml:space="preserve"> </w:t>
      </w:r>
      <w:r w:rsidRPr="00381EC2">
        <w:rPr>
          <w:color w:val="212121"/>
        </w:rPr>
        <w:t>it is no longer available</w:t>
      </w:r>
      <w:r w:rsidR="00722F19">
        <w:rPr>
          <w:color w:val="212121"/>
        </w:rPr>
        <w:t xml:space="preserve"> to the public</w:t>
      </w:r>
      <w:r w:rsidRPr="00381EC2">
        <w:rPr>
          <w:color w:val="212121"/>
        </w:rPr>
        <w:t>. In June 2015, the Shanghai Stock Exchange published the Chinese implied volatility index (iVIX). Later in November 2016, SSE published a revised Chinese implied volatility index (iVX), which is real-time updating VIX-type volatility implied by SSE 50 ETF options.</w:t>
      </w:r>
      <w:r w:rsidR="0060325A" w:rsidRPr="0060325A">
        <w:rPr>
          <w:rStyle w:val="FootnoteReference"/>
          <w:color w:val="212121"/>
        </w:rPr>
        <w:t xml:space="preserve"> </w:t>
      </w:r>
      <w:r w:rsidR="0060325A">
        <w:rPr>
          <w:rStyle w:val="FootnoteReference"/>
          <w:color w:val="212121"/>
        </w:rPr>
        <w:footnoteReference w:id="2"/>
      </w:r>
      <w:r w:rsidR="0060325A" w:rsidRPr="00381EC2">
        <w:rPr>
          <w:color w:val="212121"/>
        </w:rPr>
        <w:t xml:space="preserve"> </w:t>
      </w:r>
      <w:r w:rsidRPr="00381EC2">
        <w:rPr>
          <w:color w:val="212121"/>
        </w:rPr>
        <w:t xml:space="preserve">The release of iVX was suspended in February 2018 without further notification on the time </w:t>
      </w:r>
      <w:r w:rsidR="00722F19">
        <w:rPr>
          <w:color w:val="212121"/>
        </w:rPr>
        <w:t xml:space="preserve">when </w:t>
      </w:r>
      <w:r w:rsidRPr="00381EC2">
        <w:rPr>
          <w:color w:val="212121"/>
        </w:rPr>
        <w:t xml:space="preserve">it will resume. Other volatility measures for the Chinese market include the </w:t>
      </w:r>
      <w:r w:rsidR="000278A8">
        <w:rPr>
          <w:color w:val="212121"/>
        </w:rPr>
        <w:t>CBOE</w:t>
      </w:r>
      <w:r w:rsidR="00722F19">
        <w:rPr>
          <w:color w:val="212121"/>
        </w:rPr>
        <w:t>’s</w:t>
      </w:r>
      <w:r w:rsidRPr="00381EC2">
        <w:rPr>
          <w:color w:val="212121"/>
        </w:rPr>
        <w:t xml:space="preserve"> China ETF Volatility Index (VXFXI) implied by US-traded iShares China Large-Cap ETF (FXI), which </w:t>
      </w:r>
      <w:r w:rsidR="00722F19">
        <w:rPr>
          <w:color w:val="212121"/>
        </w:rPr>
        <w:t xml:space="preserve">also </w:t>
      </w:r>
      <w:r w:rsidRPr="00381EC2">
        <w:rPr>
          <w:color w:val="212121"/>
        </w:rPr>
        <w:t xml:space="preserve">follows the calculation methodology of VIX. </w:t>
      </w:r>
      <w:r w:rsidR="00722F19">
        <w:rPr>
          <w:color w:val="212121"/>
        </w:rPr>
        <w:t>ARCH/</w:t>
      </w:r>
      <w:r w:rsidRPr="00381EC2">
        <w:rPr>
          <w:color w:val="212121"/>
        </w:rPr>
        <w:t xml:space="preserve">GARCH-type volatility computed from historical </w:t>
      </w:r>
      <w:r w:rsidR="00722F19">
        <w:rPr>
          <w:color w:val="212121"/>
        </w:rPr>
        <w:t>returns and volatility</w:t>
      </w:r>
      <w:r w:rsidRPr="00381EC2">
        <w:rPr>
          <w:color w:val="212121"/>
        </w:rPr>
        <w:t>, is also found useful to provide estimates on asset’s volatility in the near future.</w:t>
      </w:r>
      <w:r w:rsidR="000278A8" w:rsidRPr="000278A8">
        <w:rPr>
          <w:color w:val="212121"/>
        </w:rPr>
        <w:t xml:space="preserve"> </w:t>
      </w:r>
      <w:r w:rsidR="00A90950">
        <w:rPr>
          <w:color w:val="212121"/>
        </w:rPr>
        <w:t xml:space="preserve">A few attempts have been made to examine </w:t>
      </w:r>
      <w:r w:rsidR="00722F19">
        <w:rPr>
          <w:color w:val="212121"/>
        </w:rPr>
        <w:t xml:space="preserve">whether implied volatility or volatility estimates from a time series model, e.g., GARCH, can </w:t>
      </w:r>
      <w:r w:rsidR="00A90950">
        <w:rPr>
          <w:color w:val="212121"/>
        </w:rPr>
        <w:t xml:space="preserve">make a better prediction. </w:t>
      </w:r>
      <w:r w:rsidR="00A90950" w:rsidRPr="00381EC2">
        <w:t>Szakmary et al. (2003)</w:t>
      </w:r>
      <w:r w:rsidR="00DB3E7E" w:rsidRPr="00DB3E7E">
        <w:t xml:space="preserve"> finds that</w:t>
      </w:r>
      <w:r w:rsidR="00DB3E7E">
        <w:t>,</w:t>
      </w:r>
      <w:r w:rsidR="00DB3E7E" w:rsidRPr="00DB3E7E">
        <w:t xml:space="preserve"> </w:t>
      </w:r>
      <w:r w:rsidR="00DB3E7E">
        <w:t xml:space="preserve">from </w:t>
      </w:r>
      <w:r w:rsidR="00DB3E7E" w:rsidRPr="00DB3E7E">
        <w:t>34 out of 35</w:t>
      </w:r>
      <w:r w:rsidR="00DB3E7E">
        <w:t xml:space="preserve"> </w:t>
      </w:r>
      <w:r w:rsidR="00DB3E7E" w:rsidRPr="00DB3E7E">
        <w:t>future options</w:t>
      </w:r>
      <w:r w:rsidR="00DB3E7E">
        <w:t xml:space="preserve">, </w:t>
      </w:r>
      <w:r w:rsidR="00DB3E7E" w:rsidRPr="00DB3E7E">
        <w:t>implied volatility exceeded GARCH models in predicting the future realized volatility</w:t>
      </w:r>
      <w:r w:rsidR="00DB3E7E">
        <w:t xml:space="preserve">. </w:t>
      </w:r>
      <w:r w:rsidR="0060325A">
        <w:t>On the contrary,</w:t>
      </w:r>
      <w:r w:rsidR="00DB3E7E">
        <w:t xml:space="preserve"> </w:t>
      </w:r>
      <w:r w:rsidR="0060325A">
        <w:t xml:space="preserve">Bentes (2015) shows that GARCH forecasted volatility is superior to implied volatility in terms of producing forecasts on future realized volatility with data from four stock markets analyzed in his work. </w:t>
      </w:r>
    </w:p>
    <w:p w14:paraId="31C203AA" w14:textId="01CCAE13" w:rsidR="00381EC2" w:rsidRDefault="000278A8" w:rsidP="008C45C6">
      <w:pPr>
        <w:rPr>
          <w:color w:val="212121"/>
        </w:rPr>
      </w:pPr>
      <w:r w:rsidRPr="00381EC2">
        <w:rPr>
          <w:color w:val="212121"/>
        </w:rPr>
        <w:t xml:space="preserve">Motivated by a plethora of research, this thesis examines the predictive power of the forward-looking VIX-type implied volatility of the Shanghai Stock Exchange (SSE) 50 ETF options </w:t>
      </w:r>
      <w:r w:rsidR="0090740D">
        <w:rPr>
          <w:color w:val="212121"/>
        </w:rPr>
        <w:t xml:space="preserve">(IV) </w:t>
      </w:r>
      <w:r w:rsidRPr="00381EC2">
        <w:rPr>
          <w:color w:val="212121"/>
        </w:rPr>
        <w:t xml:space="preserve">for future realized volatility. It further intends to </w:t>
      </w:r>
      <w:r w:rsidR="008C45C6">
        <w:rPr>
          <w:color w:val="212121"/>
        </w:rPr>
        <w:t xml:space="preserve">compare the ability of predicting </w:t>
      </w:r>
      <w:r w:rsidR="0090740D">
        <w:rPr>
          <w:color w:val="212121"/>
        </w:rPr>
        <w:lastRenderedPageBreak/>
        <w:t xml:space="preserve">future realized volatility </w:t>
      </w:r>
      <w:r w:rsidR="008C45C6">
        <w:rPr>
          <w:color w:val="212121"/>
        </w:rPr>
        <w:t xml:space="preserve">between the </w:t>
      </w:r>
      <w:r w:rsidR="0090740D">
        <w:rPr>
          <w:color w:val="212121"/>
        </w:rPr>
        <w:t>IV</w:t>
      </w:r>
      <w:r w:rsidR="008C45C6">
        <w:rPr>
          <w:color w:val="212121"/>
        </w:rPr>
        <w:t xml:space="preserve"> and GARCH forecasted volatility. In the meanwhile, it also investigates </w:t>
      </w:r>
      <w:r w:rsidRPr="00381EC2">
        <w:rPr>
          <w:color w:val="212121"/>
        </w:rPr>
        <w:t xml:space="preserve">the correlation between </w:t>
      </w:r>
      <w:r w:rsidR="0090740D">
        <w:rPr>
          <w:color w:val="212121"/>
        </w:rPr>
        <w:t>IV</w:t>
      </w:r>
      <w:r w:rsidR="008C45C6">
        <w:rPr>
          <w:color w:val="212121"/>
        </w:rPr>
        <w:t xml:space="preserve"> </w:t>
      </w:r>
      <w:r w:rsidRPr="00381EC2">
        <w:rPr>
          <w:color w:val="212121"/>
        </w:rPr>
        <w:t xml:space="preserve">and the underlying price of SSE 50 ETF </w:t>
      </w:r>
      <w:r w:rsidR="0090740D">
        <w:rPr>
          <w:color w:val="212121"/>
        </w:rPr>
        <w:t xml:space="preserve">under </w:t>
      </w:r>
      <w:r w:rsidRPr="00381EC2">
        <w:rPr>
          <w:color w:val="212121"/>
        </w:rPr>
        <w:t xml:space="preserve">different market conditions. </w:t>
      </w:r>
    </w:p>
    <w:p w14:paraId="4BD47249" w14:textId="32E71D19" w:rsidR="00381EC2" w:rsidRPr="00381EC2" w:rsidRDefault="005C019D" w:rsidP="003257C9">
      <w:pPr>
        <w:pStyle w:val="NormalWeb"/>
        <w:shd w:val="clear" w:color="auto" w:fill="FFFFFF"/>
        <w:ind w:firstLine="720"/>
        <w:rPr>
          <w:rFonts w:asciiTheme="minorHAnsi" w:hAnsiTheme="minorHAnsi" w:cstheme="minorBidi"/>
        </w:rPr>
      </w:pPr>
      <w:r>
        <w:rPr>
          <w:rFonts w:asciiTheme="minorHAnsi" w:hAnsiTheme="minorHAnsi" w:cstheme="minorBidi"/>
        </w:rPr>
        <w:t xml:space="preserve">Previous research often finds </w:t>
      </w:r>
      <w:r w:rsidR="00381EC2" w:rsidRPr="00381EC2">
        <w:rPr>
          <w:rFonts w:asciiTheme="minorHAnsi" w:hAnsiTheme="minorHAnsi" w:cstheme="minorBidi"/>
        </w:rPr>
        <w:t xml:space="preserve">a </w:t>
      </w:r>
      <w:r w:rsidR="00AC3375">
        <w:rPr>
          <w:rFonts w:asciiTheme="minorHAnsi" w:hAnsiTheme="minorHAnsi" w:cstheme="minorBidi"/>
        </w:rPr>
        <w:t xml:space="preserve">stable </w:t>
      </w:r>
      <w:r w:rsidR="00381EC2" w:rsidRPr="00381EC2">
        <w:rPr>
          <w:rFonts w:asciiTheme="minorHAnsi" w:hAnsiTheme="minorHAnsi" w:cstheme="minorBidi"/>
        </w:rPr>
        <w:t>negative correlation between VIX and the price of its underlying S&amp;P 500 index</w:t>
      </w:r>
      <w:r w:rsidR="00AC3375">
        <w:rPr>
          <w:rFonts w:asciiTheme="minorHAnsi" w:hAnsiTheme="minorHAnsi" w:cstheme="minorBidi"/>
        </w:rPr>
        <w:t xml:space="preserve"> (</w:t>
      </w:r>
      <w:r w:rsidRPr="005C019D">
        <w:rPr>
          <w:kern w:val="0"/>
          <w:lang w:val="en-CN"/>
        </w:rPr>
        <w:t>Badshah</w:t>
      </w:r>
      <w:r>
        <w:rPr>
          <w:kern w:val="0"/>
        </w:rPr>
        <w:t xml:space="preserve"> 2013)</w:t>
      </w:r>
      <w:r w:rsidR="00381EC2" w:rsidRPr="00381EC2">
        <w:rPr>
          <w:rFonts w:asciiTheme="minorHAnsi" w:hAnsiTheme="minorHAnsi" w:cstheme="minorBidi"/>
        </w:rPr>
        <w:t>. There have been a few attempts to examine whether this negative correlation also pertains in the Chinese market. The results are mixed, and opposite conclusions exist when examining data from different sample periods and at different frequencies. Li</w:t>
      </w:r>
      <w:r w:rsidR="003257C9">
        <w:rPr>
          <w:rFonts w:asciiTheme="minorHAnsi" w:hAnsiTheme="minorHAnsi" w:cstheme="minorBidi"/>
        </w:rPr>
        <w:t xml:space="preserve"> et al. (</w:t>
      </w:r>
      <w:r w:rsidR="00381EC2" w:rsidRPr="00381EC2">
        <w:rPr>
          <w:rFonts w:asciiTheme="minorHAnsi" w:hAnsiTheme="minorHAnsi" w:cstheme="minorBidi"/>
        </w:rPr>
        <w:t xml:space="preserve">2019) finds the correlation between </w:t>
      </w:r>
      <w:r w:rsidR="003257C9">
        <w:rPr>
          <w:rFonts w:asciiTheme="minorHAnsi" w:hAnsiTheme="minorHAnsi" w:cstheme="minorBidi"/>
        </w:rPr>
        <w:t>iVX</w:t>
      </w:r>
      <w:r w:rsidR="00381EC2" w:rsidRPr="00381EC2">
        <w:rPr>
          <w:rFonts w:asciiTheme="minorHAnsi" w:hAnsiTheme="minorHAnsi" w:cstheme="minorBidi"/>
        </w:rPr>
        <w:t xml:space="preserve"> and </w:t>
      </w:r>
      <w:r w:rsidR="003257C9">
        <w:rPr>
          <w:rFonts w:asciiTheme="minorHAnsi" w:hAnsiTheme="minorHAnsi" w:cstheme="minorBidi"/>
        </w:rPr>
        <w:t xml:space="preserve">the </w:t>
      </w:r>
      <w:r w:rsidR="00381EC2" w:rsidRPr="00381EC2">
        <w:rPr>
          <w:rFonts w:asciiTheme="minorHAnsi" w:hAnsiTheme="minorHAnsi" w:cstheme="minorBidi"/>
        </w:rPr>
        <w:t xml:space="preserve">price </w:t>
      </w:r>
      <w:r w:rsidR="003257C9">
        <w:rPr>
          <w:rFonts w:asciiTheme="minorHAnsi" w:hAnsiTheme="minorHAnsi" w:cstheme="minorBidi"/>
        </w:rPr>
        <w:t xml:space="preserve">of SSE 50 ETF </w:t>
      </w:r>
      <w:r w:rsidR="00381EC2" w:rsidRPr="00381EC2">
        <w:rPr>
          <w:rFonts w:asciiTheme="minorHAnsi" w:hAnsiTheme="minorHAnsi" w:cstheme="minorBidi"/>
        </w:rPr>
        <w:t>being positive over their sample period</w:t>
      </w:r>
      <w:r w:rsidR="003257C9">
        <w:rPr>
          <w:rFonts w:asciiTheme="minorHAnsi" w:hAnsiTheme="minorHAnsi" w:cstheme="minorBidi"/>
        </w:rPr>
        <w:t xml:space="preserve"> from February 2015 to February 2018 in </w:t>
      </w:r>
      <w:r w:rsidR="00F3708A">
        <w:rPr>
          <w:rFonts w:asciiTheme="minorHAnsi" w:hAnsiTheme="minorHAnsi" w:cstheme="minorBidi"/>
        </w:rPr>
        <w:t xml:space="preserve">high-frequency </w:t>
      </w:r>
      <w:r w:rsidR="003257C9">
        <w:rPr>
          <w:rFonts w:asciiTheme="minorHAnsi" w:hAnsiTheme="minorHAnsi" w:cstheme="minorBidi"/>
        </w:rPr>
        <w:t xml:space="preserve">intraday data. A </w:t>
      </w:r>
      <w:r w:rsidR="00381EC2" w:rsidRPr="00381EC2">
        <w:rPr>
          <w:rFonts w:asciiTheme="minorHAnsi" w:hAnsiTheme="minorHAnsi" w:cstheme="minorBidi"/>
        </w:rPr>
        <w:t>possible explanation</w:t>
      </w:r>
      <w:r w:rsidR="00F3708A">
        <w:rPr>
          <w:rFonts w:asciiTheme="minorHAnsi" w:hAnsiTheme="minorHAnsi" w:cstheme="minorBidi"/>
        </w:rPr>
        <w:t xml:space="preserve"> for</w:t>
      </w:r>
      <w:r w:rsidR="00381EC2" w:rsidRPr="00381EC2">
        <w:rPr>
          <w:rFonts w:asciiTheme="minorHAnsi" w:hAnsiTheme="minorHAnsi" w:cstheme="minorBidi"/>
        </w:rPr>
        <w:t xml:space="preserve"> </w:t>
      </w:r>
      <w:r w:rsidR="00F3708A">
        <w:rPr>
          <w:rFonts w:asciiTheme="minorHAnsi" w:hAnsiTheme="minorHAnsi" w:cstheme="minorBidi"/>
        </w:rPr>
        <w:t xml:space="preserve">counterintuitive price-volatility </w:t>
      </w:r>
      <w:r w:rsidR="00F3708A" w:rsidRPr="00381EC2">
        <w:rPr>
          <w:rFonts w:asciiTheme="minorHAnsi" w:hAnsiTheme="minorHAnsi" w:cstheme="minorBidi"/>
        </w:rPr>
        <w:t>relationship</w:t>
      </w:r>
      <w:r w:rsidR="00F3708A">
        <w:rPr>
          <w:rFonts w:asciiTheme="minorHAnsi" w:hAnsiTheme="minorHAnsi" w:cstheme="minorBidi"/>
        </w:rPr>
        <w:t xml:space="preserve"> </w:t>
      </w:r>
      <w:r w:rsidR="00381EC2" w:rsidRPr="00381EC2">
        <w:rPr>
          <w:rFonts w:asciiTheme="minorHAnsi" w:hAnsiTheme="minorHAnsi" w:cstheme="minorBidi"/>
        </w:rPr>
        <w:t xml:space="preserve">attributes </w:t>
      </w:r>
      <w:r w:rsidR="00F3708A">
        <w:rPr>
          <w:rFonts w:asciiTheme="minorHAnsi" w:hAnsiTheme="minorHAnsi" w:cstheme="minorBidi"/>
        </w:rPr>
        <w:t>the cause</w:t>
      </w:r>
      <w:r w:rsidR="00381EC2" w:rsidRPr="00381EC2">
        <w:rPr>
          <w:rFonts w:asciiTheme="minorHAnsi" w:hAnsiTheme="minorHAnsi" w:cstheme="minorBidi"/>
        </w:rPr>
        <w:t xml:space="preserve"> to the inexperience of Chinese investors</w:t>
      </w:r>
      <w:r w:rsidR="003257C9">
        <w:rPr>
          <w:rFonts w:asciiTheme="minorHAnsi" w:hAnsiTheme="minorHAnsi" w:cstheme="minorBidi"/>
        </w:rPr>
        <w:t xml:space="preserve"> (</w:t>
      </w:r>
      <w:r w:rsidR="003257C9">
        <w:t>Ahn et al. 2019)</w:t>
      </w:r>
      <w:r w:rsidR="00381EC2" w:rsidRPr="00381EC2">
        <w:rPr>
          <w:rFonts w:asciiTheme="minorHAnsi" w:hAnsiTheme="minorHAnsi" w:cstheme="minorBidi"/>
        </w:rPr>
        <w:t>. Further analysis c</w:t>
      </w:r>
      <w:r w:rsidR="003257C9">
        <w:rPr>
          <w:rFonts w:asciiTheme="minorHAnsi" w:hAnsiTheme="minorHAnsi" w:cstheme="minorBidi"/>
        </w:rPr>
        <w:t>an</w:t>
      </w:r>
      <w:r w:rsidR="00381EC2" w:rsidRPr="00381EC2">
        <w:rPr>
          <w:rFonts w:asciiTheme="minorHAnsi" w:hAnsiTheme="minorHAnsi" w:cstheme="minorBidi"/>
        </w:rPr>
        <w:t xml:space="preserve"> be done on the profile of option investors, composition of trading volume breaking down by transaction size, and whether this inexperience of investor is also observed in other markets with a new introduction of option products. </w:t>
      </w:r>
    </w:p>
    <w:p w14:paraId="303125C0" w14:textId="23D766DD" w:rsidR="00381EC2" w:rsidRPr="00381EC2" w:rsidRDefault="00381EC2" w:rsidP="00381EC2">
      <w:pPr>
        <w:pStyle w:val="NormalWeb"/>
        <w:shd w:val="clear" w:color="auto" w:fill="FFFFFF"/>
        <w:ind w:firstLine="720"/>
        <w:rPr>
          <w:rFonts w:asciiTheme="minorHAnsi" w:hAnsiTheme="minorHAnsi" w:cstheme="minorBidi"/>
        </w:rPr>
      </w:pPr>
      <w:r w:rsidRPr="00381EC2">
        <w:rPr>
          <w:rFonts w:asciiTheme="minorHAnsi" w:hAnsiTheme="minorHAnsi" w:cstheme="minorBidi"/>
        </w:rPr>
        <w:t>In this paper, I address the following questions. How is implied volatility correlated with the underlying price during the sample period</w:t>
      </w:r>
      <w:r w:rsidR="004D7EFF">
        <w:rPr>
          <w:rFonts w:asciiTheme="minorHAnsi" w:hAnsiTheme="minorHAnsi" w:cstheme="minorBidi"/>
        </w:rPr>
        <w:t xml:space="preserve"> this thesis studies</w:t>
      </w:r>
      <w:r w:rsidRPr="00381EC2">
        <w:rPr>
          <w:rFonts w:asciiTheme="minorHAnsi" w:hAnsiTheme="minorHAnsi" w:cstheme="minorBidi"/>
        </w:rPr>
        <w:t xml:space="preserve">? Can we observe different patterns of this correlation in different subsamples? Can these patterns also be observed in high-frequency data? Does implied volatility offer good prediction for future realized volatility? Compared to other volatility estimates, such as GARCH volatility, is implied volatility superior or inferior? The analysis I conduct in this paper intends to address the above questions using data from the Chinese market. </w:t>
      </w:r>
    </w:p>
    <w:p w14:paraId="6881F84F" w14:textId="5C617A97" w:rsidR="00381EC2" w:rsidRPr="00381EC2" w:rsidRDefault="00381EC2" w:rsidP="006A64C3">
      <w:pPr>
        <w:pStyle w:val="NormalWeb"/>
        <w:shd w:val="clear" w:color="auto" w:fill="FFFFFF"/>
        <w:ind w:firstLine="720"/>
        <w:rPr>
          <w:rFonts w:asciiTheme="minorHAnsi" w:hAnsiTheme="minorHAnsi" w:cstheme="minorBidi"/>
        </w:rPr>
      </w:pPr>
      <w:r w:rsidRPr="00381EC2">
        <w:rPr>
          <w:rFonts w:asciiTheme="minorHAnsi" w:hAnsiTheme="minorHAnsi" w:cstheme="minorBidi"/>
        </w:rPr>
        <w:t xml:space="preserve">The methodology I use in this paper begins with a </w:t>
      </w:r>
      <w:r w:rsidR="00F3708A">
        <w:rPr>
          <w:rFonts w:asciiTheme="minorHAnsi" w:hAnsiTheme="minorHAnsi" w:cstheme="minorBidi"/>
        </w:rPr>
        <w:t xml:space="preserve">simple </w:t>
      </w:r>
      <w:r w:rsidRPr="00381EC2">
        <w:rPr>
          <w:rFonts w:asciiTheme="minorHAnsi" w:hAnsiTheme="minorHAnsi" w:cstheme="minorBidi"/>
        </w:rPr>
        <w:t xml:space="preserve">correlation analysis that computes the correlation between IV and the price of SSE 50 ETF and tests its significance level. </w:t>
      </w:r>
      <w:r w:rsidRPr="00381EC2">
        <w:rPr>
          <w:rFonts w:asciiTheme="minorHAnsi" w:hAnsiTheme="minorHAnsi" w:cstheme="minorBidi"/>
        </w:rPr>
        <w:lastRenderedPageBreak/>
        <w:t xml:space="preserve">I investigate this price-volatility relationship for two selected subsamples1 at higher frequencies. I find that both positive and negative correlations can be observed in high-frequency data for different periods. I use predictive regressions to examine the predictive power of IV for future realized volatility of SSE 50 ETF. Results show that IV has strong predictive power and is superior to GARCH (1,1) forecasted volatility. </w:t>
      </w:r>
    </w:p>
    <w:p w14:paraId="118D04DB" w14:textId="03A0CC54" w:rsidR="00381EC2" w:rsidRDefault="00381EC2" w:rsidP="00381EC2">
      <w:pPr>
        <w:pStyle w:val="NormalWeb"/>
        <w:shd w:val="clear" w:color="auto" w:fill="FFFFFF"/>
        <w:ind w:firstLine="720"/>
        <w:rPr>
          <w:rFonts w:asciiTheme="minorHAnsi" w:hAnsiTheme="minorHAnsi" w:cstheme="minorBidi"/>
        </w:rPr>
      </w:pPr>
      <w:r w:rsidRPr="00381EC2">
        <w:rPr>
          <w:rFonts w:asciiTheme="minorHAnsi" w:hAnsiTheme="minorHAnsi" w:cstheme="minorBidi"/>
        </w:rPr>
        <w:t xml:space="preserve">This thesis reconstructs the Chinese implied volatility index with SSE 50 ETF option quotes, after </w:t>
      </w:r>
      <w:r w:rsidR="00A00433">
        <w:rPr>
          <w:rFonts w:asciiTheme="minorHAnsi" w:hAnsiTheme="minorHAnsi" w:cstheme="minorBidi"/>
        </w:rPr>
        <w:t xml:space="preserve">its </w:t>
      </w:r>
      <w:r w:rsidRPr="00381EC2">
        <w:rPr>
          <w:rFonts w:asciiTheme="minorHAnsi" w:hAnsiTheme="minorHAnsi" w:cstheme="minorBidi"/>
        </w:rPr>
        <w:t xml:space="preserve">official release </w:t>
      </w:r>
      <w:r w:rsidR="00A00433">
        <w:rPr>
          <w:rFonts w:asciiTheme="minorHAnsi" w:hAnsiTheme="minorHAnsi" w:cstheme="minorBidi"/>
        </w:rPr>
        <w:t xml:space="preserve">was suspended in </w:t>
      </w:r>
      <w:r w:rsidRPr="00381EC2">
        <w:rPr>
          <w:rFonts w:asciiTheme="minorHAnsi" w:hAnsiTheme="minorHAnsi" w:cstheme="minorBidi"/>
        </w:rPr>
        <w:t>February 2018. It contributes to the literature by examining the two well-explored research topics with evidence from the Chinese market</w:t>
      </w:r>
      <w:r w:rsidR="00C4075F">
        <w:rPr>
          <w:rFonts w:asciiTheme="minorHAnsi" w:hAnsiTheme="minorHAnsi" w:cstheme="minorBidi"/>
        </w:rPr>
        <w:t xml:space="preserve"> and analysis using </w:t>
      </w:r>
      <w:r w:rsidR="00F60BFC">
        <w:rPr>
          <w:rFonts w:asciiTheme="minorHAnsi" w:hAnsiTheme="minorHAnsi" w:cstheme="minorBidi"/>
        </w:rPr>
        <w:t>intraday</w:t>
      </w:r>
      <w:r w:rsidR="00C4075F">
        <w:rPr>
          <w:rFonts w:asciiTheme="minorHAnsi" w:hAnsiTheme="minorHAnsi" w:cstheme="minorBidi"/>
        </w:rPr>
        <w:t xml:space="preserve"> data</w:t>
      </w:r>
      <w:r w:rsidRPr="00381EC2">
        <w:rPr>
          <w:rFonts w:asciiTheme="minorHAnsi" w:hAnsiTheme="minorHAnsi" w:cstheme="minorBidi"/>
        </w:rPr>
        <w:t>. I find a sub</w:t>
      </w:r>
      <w:r w:rsidR="00F60BFC">
        <w:rPr>
          <w:rFonts w:asciiTheme="minorHAnsi" w:hAnsiTheme="minorHAnsi" w:cstheme="minorBidi"/>
        </w:rPr>
        <w:t>sample</w:t>
      </w:r>
      <w:r w:rsidRPr="00381EC2">
        <w:rPr>
          <w:rFonts w:asciiTheme="minorHAnsi" w:hAnsiTheme="minorHAnsi" w:cstheme="minorBidi"/>
        </w:rPr>
        <w:t xml:space="preserve"> where implied volatility exhibits a counterintuitively positive correlation with the underlying price</w:t>
      </w:r>
      <w:r w:rsidR="00E519A7">
        <w:rPr>
          <w:rFonts w:asciiTheme="minorHAnsi" w:hAnsiTheme="minorHAnsi" w:cstheme="minorBidi"/>
        </w:rPr>
        <w:t>. This thesis tries to offer</w:t>
      </w:r>
      <w:r w:rsidRPr="00381EC2">
        <w:rPr>
          <w:rFonts w:asciiTheme="minorHAnsi" w:hAnsiTheme="minorHAnsi" w:cstheme="minorBidi"/>
        </w:rPr>
        <w:t xml:space="preserve"> </w:t>
      </w:r>
      <w:r w:rsidR="00E519A7" w:rsidRPr="00381EC2">
        <w:rPr>
          <w:rFonts w:asciiTheme="minorHAnsi" w:hAnsiTheme="minorHAnsi" w:cstheme="minorBidi"/>
        </w:rPr>
        <w:t>explana</w:t>
      </w:r>
      <w:r w:rsidR="00E519A7">
        <w:rPr>
          <w:rFonts w:asciiTheme="minorHAnsi" w:hAnsiTheme="minorHAnsi" w:cstheme="minorBidi"/>
        </w:rPr>
        <w:t>tion for this positive price-IV correlation</w:t>
      </w:r>
      <w:r w:rsidRPr="00381EC2">
        <w:rPr>
          <w:rFonts w:asciiTheme="minorHAnsi" w:hAnsiTheme="minorHAnsi" w:cstheme="minorBidi"/>
        </w:rPr>
        <w:t xml:space="preserve"> </w:t>
      </w:r>
      <w:r w:rsidR="00E519A7">
        <w:rPr>
          <w:rFonts w:asciiTheme="minorHAnsi" w:hAnsiTheme="minorHAnsi" w:cstheme="minorBidi"/>
        </w:rPr>
        <w:t>from analyzing social economic factors and with behavioral finance theories</w:t>
      </w:r>
      <w:r w:rsidRPr="00381EC2">
        <w:rPr>
          <w:rFonts w:asciiTheme="minorHAnsi" w:hAnsiTheme="minorHAnsi" w:cstheme="minorBidi"/>
        </w:rPr>
        <w:t>. Further, the sample period of this research contains February to April in 2020, when the outbreak of COVID-19 turns into a global pandemic</w:t>
      </w:r>
      <w:r w:rsidR="004D7EFF">
        <w:rPr>
          <w:rStyle w:val="FootnoteReference"/>
          <w:rFonts w:asciiTheme="minorHAnsi" w:hAnsiTheme="minorHAnsi" w:cstheme="minorBidi"/>
        </w:rPr>
        <w:footnoteReference w:id="3"/>
      </w:r>
      <w:r w:rsidRPr="00381EC2">
        <w:rPr>
          <w:rFonts w:asciiTheme="minorHAnsi" w:hAnsiTheme="minorHAnsi" w:cstheme="minorBidi"/>
        </w:rPr>
        <w:t xml:space="preserve">. Empirical results in this thesis complement our understanding of the price-IV correlation and affirm the predictive power of implied volatility. </w:t>
      </w:r>
    </w:p>
    <w:p w14:paraId="0C850D1E" w14:textId="59ABAF29" w:rsidR="00822B94" w:rsidRPr="005F7EF7" w:rsidRDefault="005A6925" w:rsidP="005F7EF7">
      <w:pPr>
        <w:rPr>
          <w:rFonts w:ascii="Times New Roman" w:hAnsi="Times New Roman" w:cs="Times New Roman"/>
          <w:color w:val="212121"/>
        </w:rPr>
      </w:pPr>
      <w:r w:rsidRPr="005A6925">
        <w:rPr>
          <w:rFonts w:ascii="Times New Roman" w:hAnsi="Times New Roman" w:cs="Times New Roman"/>
          <w:color w:val="212121"/>
        </w:rPr>
        <w:t>This thesis can also have implications on whether IV-related financial products can be useful risk management tools. Often</w:t>
      </w:r>
      <w:r w:rsidR="00D93AEA">
        <w:rPr>
          <w:rFonts w:ascii="Times New Roman" w:hAnsi="Times New Roman" w:cs="Times New Roman"/>
          <w:color w:val="212121"/>
        </w:rPr>
        <w:t>,</w:t>
      </w:r>
      <w:r w:rsidRPr="005A6925">
        <w:rPr>
          <w:rFonts w:ascii="Times New Roman" w:hAnsi="Times New Roman" w:cs="Times New Roman"/>
          <w:color w:val="212121"/>
        </w:rPr>
        <w:t xml:space="preserve"> we read news about some institutional investors shorting VIX either through its futures or options as a strategy of betting against market volatility or hedging against other positions in their portfolio. The analysis finds good predictive power of implied volatility; it confirms the possibility and the potential effectiveness of introducing financial products that are related to the implied volatility index for risk management purposes. </w:t>
      </w:r>
      <w:r w:rsidRPr="005A6925">
        <w:rPr>
          <w:rFonts w:ascii="Times New Roman" w:hAnsi="Times New Roman" w:cs="Times New Roman"/>
          <w:color w:val="212121"/>
        </w:rPr>
        <w:lastRenderedPageBreak/>
        <w:t xml:space="preserve">On top of these, profitable trading strategies can also be derived under the guidance of a powerful predictive tool and with a good understanding of the correlation between implied volatility and underlying price in different market conditions. </w:t>
      </w:r>
    </w:p>
    <w:p w14:paraId="74B7AD30" w14:textId="77777777" w:rsidR="00A00433" w:rsidRDefault="00A00433">
      <w:pPr>
        <w:rPr>
          <w:rFonts w:asciiTheme="majorHAnsi" w:eastAsiaTheme="majorEastAsia" w:hAnsiTheme="majorHAnsi" w:cstheme="majorBidi"/>
          <w:b/>
          <w:bCs/>
        </w:rPr>
      </w:pPr>
      <w:bookmarkStart w:id="7" w:name="_Toc39843395"/>
      <w:r>
        <w:br w:type="page"/>
      </w:r>
    </w:p>
    <w:p w14:paraId="66F94076" w14:textId="5AC28D68" w:rsidR="00822B94" w:rsidRDefault="00822B94" w:rsidP="00822B94">
      <w:pPr>
        <w:pStyle w:val="Heading1"/>
      </w:pPr>
      <w:r>
        <w:lastRenderedPageBreak/>
        <w:t>Data</w:t>
      </w:r>
      <w:bookmarkEnd w:id="7"/>
    </w:p>
    <w:p w14:paraId="206675DE" w14:textId="77777777" w:rsidR="00A614BA" w:rsidRDefault="00A614BA" w:rsidP="00146464">
      <w:pPr>
        <w:pStyle w:val="NormalWeb"/>
        <w:shd w:val="clear" w:color="auto" w:fill="FFFFFF"/>
        <w:spacing w:after="150"/>
        <w:ind w:firstLine="720"/>
        <w:rPr>
          <w:color w:val="212121"/>
        </w:rPr>
      </w:pPr>
      <w:r w:rsidRPr="00A614BA">
        <w:rPr>
          <w:color w:val="212121"/>
        </w:rPr>
        <w:t>In this paper, I use 1-min and daily data on SSE 50 ETF option and the price of its underlying, SSE 50 ETF from March 2015 to April 2020. The sample period of my statistical analysis ranges from January 2, 2018, to April 3, 2020, which uses non-overlapping observations on the following variables:</w:t>
      </w:r>
    </w:p>
    <w:p w14:paraId="7EE419CD" w14:textId="73DDD5F8" w:rsidR="00146464" w:rsidRPr="00F10EFE" w:rsidRDefault="00146464" w:rsidP="003E07E4">
      <w:pPr>
        <w:pStyle w:val="Heading2"/>
      </w:pPr>
      <w:bookmarkStart w:id="8" w:name="_Toc39843396"/>
      <w:r w:rsidRPr="00F10EFE">
        <w:t>Realized volatility</w:t>
      </w:r>
      <w:bookmarkEnd w:id="8"/>
    </w:p>
    <w:p w14:paraId="335C8196" w14:textId="34519E3B" w:rsidR="00146464" w:rsidRDefault="00146464" w:rsidP="006E3815">
      <w:pPr>
        <w:pStyle w:val="NormalWeb"/>
        <w:shd w:val="clear" w:color="auto" w:fill="FFFFFF"/>
        <w:spacing w:after="150"/>
        <w:ind w:firstLine="720"/>
        <w:rPr>
          <w:color w:val="212121"/>
        </w:rPr>
      </w:pPr>
      <w:r>
        <w:rPr>
          <w:color w:val="212121"/>
        </w:rPr>
        <w:t xml:space="preserve">Daily realized volatility of SSE 50 ETF is calculated with 1-minute logarithmic returns, which is also the </w:t>
      </w:r>
      <w:r w:rsidRPr="00CE2865">
        <w:rPr>
          <w:color w:val="212121"/>
        </w:rPr>
        <w:t>difference of the natural logarithm of</w:t>
      </w:r>
      <w:r>
        <w:rPr>
          <w:color w:val="212121"/>
        </w:rPr>
        <w:t xml:space="preserve"> </w:t>
      </w:r>
      <w:r w:rsidRPr="00CE2865">
        <w:rPr>
          <w:color w:val="212121"/>
        </w:rPr>
        <w:t>the closing prices</w:t>
      </w:r>
      <w:r>
        <w:rPr>
          <w:color w:val="212121"/>
        </w:rPr>
        <w:t xml:space="preserve">. For a specific time period, day t, the RV for this period is defined as: </w:t>
      </w:r>
    </w:p>
    <w:p w14:paraId="4FF8ABA2" w14:textId="77777777" w:rsidR="00A755E7" w:rsidRPr="00A755E7" w:rsidRDefault="00C44556" w:rsidP="00A755E7">
      <w:pPr>
        <w:pStyle w:val="NormalWeb"/>
        <w:shd w:val="clear" w:color="auto" w:fill="FFFFFF"/>
        <w:spacing w:after="150"/>
        <w:ind w:firstLine="720"/>
        <w:rPr>
          <w:color w:val="212121"/>
        </w:rPr>
      </w:pPr>
      <m:oMathPara>
        <m:oMath>
          <m:sSub>
            <m:sSubPr>
              <m:ctrlPr>
                <w:rPr>
                  <w:rFonts w:ascii="Cambria Math" w:hAnsi="Cambria Math"/>
                  <w:i/>
                  <w:color w:val="212121"/>
                </w:rPr>
              </m:ctrlPr>
            </m:sSubPr>
            <m:e>
              <m:r>
                <w:rPr>
                  <w:rFonts w:ascii="Cambria Math" w:hAnsi="Cambria Math"/>
                  <w:color w:val="212121"/>
                </w:rPr>
                <m:t>RV</m:t>
              </m:r>
            </m:e>
            <m:sub>
              <m:r>
                <w:rPr>
                  <w:rFonts w:ascii="Cambria Math" w:hAnsi="Cambria Math"/>
                  <w:color w:val="212121"/>
                </w:rPr>
                <m:t>t</m:t>
              </m:r>
            </m:sub>
          </m:sSub>
          <m:r>
            <w:rPr>
              <w:rFonts w:ascii="Cambria Math" w:hAnsi="Cambria Math"/>
              <w:color w:val="212121"/>
            </w:rPr>
            <m:t>=</m:t>
          </m:r>
          <m:rad>
            <m:radPr>
              <m:degHide m:val="1"/>
              <m:ctrlPr>
                <w:rPr>
                  <w:rFonts w:ascii="Cambria Math" w:hAnsi="Cambria Math"/>
                  <w:i/>
                  <w:color w:val="212121"/>
                </w:rPr>
              </m:ctrlPr>
            </m:radPr>
            <m:deg/>
            <m:e>
              <m:r>
                <w:rPr>
                  <w:rFonts w:ascii="Cambria Math" w:hAnsi="Cambria Math"/>
                  <w:color w:val="212121"/>
                </w:rPr>
                <m:t>252</m:t>
              </m:r>
              <m:d>
                <m:dPr>
                  <m:ctrlPr>
                    <w:rPr>
                      <w:rFonts w:ascii="Cambria Math" w:hAnsi="Cambria Math"/>
                      <w:i/>
                      <w:color w:val="212121"/>
                    </w:rPr>
                  </m:ctrlPr>
                </m:dPr>
                <m:e>
                  <m:nary>
                    <m:naryPr>
                      <m:chr m:val="∑"/>
                      <m:limLoc m:val="undOvr"/>
                      <m:ctrlPr>
                        <w:rPr>
                          <w:rFonts w:ascii="Cambria Math" w:hAnsi="Cambria Math"/>
                          <w:i/>
                          <w:color w:val="212121"/>
                        </w:rPr>
                      </m:ctrlPr>
                    </m:naryPr>
                    <m:sub>
                      <m:r>
                        <w:rPr>
                          <w:rFonts w:ascii="Cambria Math" w:hAnsi="Cambria Math"/>
                          <w:color w:val="212121"/>
                        </w:rPr>
                        <m:t>i=1</m:t>
                      </m:r>
                    </m:sub>
                    <m:sup>
                      <m:r>
                        <w:rPr>
                          <w:rFonts w:ascii="Cambria Math" w:hAnsi="Cambria Math"/>
                          <w:color w:val="212121"/>
                        </w:rPr>
                        <m:t>n</m:t>
                      </m:r>
                    </m:sup>
                    <m:e>
                      <m:sSubSup>
                        <m:sSubSupPr>
                          <m:ctrlPr>
                            <w:rPr>
                              <w:rFonts w:ascii="Cambria Math" w:hAnsi="Cambria Math"/>
                              <w:i/>
                              <w:color w:val="212121"/>
                            </w:rPr>
                          </m:ctrlPr>
                        </m:sSubSupPr>
                        <m:e>
                          <m:r>
                            <w:rPr>
                              <w:rFonts w:ascii="Cambria Math" w:hAnsi="Cambria Math"/>
                              <w:color w:val="212121"/>
                            </w:rPr>
                            <m:t>r</m:t>
                          </m:r>
                        </m:e>
                        <m:sub>
                          <m:r>
                            <w:rPr>
                              <w:rFonts w:ascii="Cambria Math" w:hAnsi="Cambria Math"/>
                              <w:color w:val="212121"/>
                            </w:rPr>
                            <m:t>i,t</m:t>
                          </m:r>
                        </m:sub>
                        <m:sup>
                          <m:r>
                            <w:rPr>
                              <w:rFonts w:ascii="Cambria Math" w:hAnsi="Cambria Math"/>
                              <w:color w:val="212121"/>
                            </w:rPr>
                            <m:t>2</m:t>
                          </m:r>
                        </m:sup>
                      </m:sSubSup>
                    </m:e>
                  </m:nary>
                </m:e>
              </m:d>
            </m:e>
          </m:rad>
        </m:oMath>
      </m:oMathPara>
    </w:p>
    <w:p w14:paraId="6C59BB98" w14:textId="7BF3B877" w:rsidR="00822B94" w:rsidRPr="00644AA1" w:rsidRDefault="00822B94" w:rsidP="00A755E7">
      <w:pPr>
        <w:pStyle w:val="NormalWeb"/>
        <w:shd w:val="clear" w:color="auto" w:fill="FFFFFF"/>
        <w:spacing w:after="150"/>
        <w:ind w:firstLine="720"/>
        <w:rPr>
          <w:color w:val="212121"/>
        </w:rPr>
      </w:pPr>
      <m:oMathPara>
        <m:oMath>
          <m:r>
            <w:rPr>
              <w:rFonts w:ascii="Cambria Math" w:hAnsi="Cambria Math"/>
              <w:color w:val="212121"/>
            </w:rPr>
            <m:t xml:space="preserve"> </m:t>
          </m:r>
          <m:sSub>
            <m:sSubPr>
              <m:ctrlPr>
                <w:rPr>
                  <w:rFonts w:ascii="Cambria Math" w:hAnsi="Cambria Math"/>
                  <w:i/>
                  <w:color w:val="212121"/>
                </w:rPr>
              </m:ctrlPr>
            </m:sSubPr>
            <m:e>
              <m:r>
                <w:rPr>
                  <w:rFonts w:ascii="Cambria Math" w:hAnsi="Cambria Math"/>
                  <w:color w:val="212121"/>
                </w:rPr>
                <m:t>r</m:t>
              </m:r>
            </m:e>
            <m:sub>
              <m:r>
                <w:rPr>
                  <w:rFonts w:ascii="Cambria Math" w:hAnsi="Cambria Math"/>
                  <w:color w:val="212121"/>
                </w:rPr>
                <m:t>i,t</m:t>
              </m:r>
            </m:sub>
          </m:sSub>
          <m:r>
            <w:rPr>
              <w:rFonts w:ascii="Cambria Math" w:hAnsi="Cambria Math"/>
              <w:color w:val="212121"/>
            </w:rPr>
            <m:t>=100(ln</m:t>
          </m:r>
          <m:sSub>
            <m:sSubPr>
              <m:ctrlPr>
                <w:rPr>
                  <w:rFonts w:ascii="Cambria Math" w:hAnsi="Cambria Math"/>
                  <w:i/>
                  <w:color w:val="212121"/>
                </w:rPr>
              </m:ctrlPr>
            </m:sSubPr>
            <m:e>
              <m:r>
                <w:rPr>
                  <w:rFonts w:ascii="Cambria Math" w:hAnsi="Cambria Math"/>
                  <w:color w:val="212121"/>
                </w:rPr>
                <m:t>P</m:t>
              </m:r>
            </m:e>
            <m:sub>
              <m:r>
                <w:rPr>
                  <w:rFonts w:ascii="Cambria Math" w:hAnsi="Cambria Math"/>
                  <w:color w:val="212121"/>
                </w:rPr>
                <m:t>i,t</m:t>
              </m:r>
            </m:sub>
          </m:sSub>
          <m:r>
            <w:rPr>
              <w:rFonts w:ascii="Cambria Math" w:hAnsi="Cambria Math"/>
              <w:color w:val="212121"/>
            </w:rPr>
            <m:t>-ln</m:t>
          </m:r>
          <m:sSub>
            <m:sSubPr>
              <m:ctrlPr>
                <w:rPr>
                  <w:rFonts w:ascii="Cambria Math" w:hAnsi="Cambria Math"/>
                  <w:i/>
                  <w:color w:val="212121"/>
                </w:rPr>
              </m:ctrlPr>
            </m:sSubPr>
            <m:e>
              <m:r>
                <w:rPr>
                  <w:rFonts w:ascii="Cambria Math" w:hAnsi="Cambria Math"/>
                  <w:color w:val="212121"/>
                </w:rPr>
                <m:t>P</m:t>
              </m:r>
            </m:e>
            <m:sub>
              <m:r>
                <w:rPr>
                  <w:rFonts w:ascii="Cambria Math" w:hAnsi="Cambria Math"/>
                  <w:color w:val="212121"/>
                </w:rPr>
                <m:t>i-1,t</m:t>
              </m:r>
            </m:sub>
          </m:sSub>
          <m:r>
            <w:rPr>
              <w:rFonts w:ascii="Cambria Math" w:hAnsi="Cambria Math"/>
              <w:color w:val="212121"/>
            </w:rPr>
            <m:t>)</m:t>
          </m:r>
        </m:oMath>
      </m:oMathPara>
    </w:p>
    <w:p w14:paraId="5DE6390C" w14:textId="000708B1" w:rsidR="00146464" w:rsidRDefault="00146464" w:rsidP="00146464">
      <w:pPr>
        <w:pStyle w:val="NormalWeb"/>
        <w:shd w:val="clear" w:color="auto" w:fill="FFFFFF"/>
        <w:spacing w:after="150"/>
        <w:rPr>
          <w:color w:val="212121"/>
        </w:rPr>
      </w:pPr>
      <w:r>
        <w:rPr>
          <w:color w:val="212121"/>
        </w:rPr>
        <w:t xml:space="preserve">where </w:t>
      </w:r>
      <m:oMath>
        <m:sSub>
          <m:sSubPr>
            <m:ctrlPr>
              <w:rPr>
                <w:rFonts w:ascii="Cambria Math" w:hAnsi="Cambria Math"/>
                <w:i/>
                <w:color w:val="212121"/>
              </w:rPr>
            </m:ctrlPr>
          </m:sSubPr>
          <m:e>
            <m:r>
              <w:rPr>
                <w:rFonts w:ascii="Cambria Math" w:hAnsi="Cambria Math"/>
                <w:color w:val="212121"/>
              </w:rPr>
              <m:t>r</m:t>
            </m:r>
          </m:e>
          <m:sub>
            <m:r>
              <w:rPr>
                <w:rFonts w:ascii="Cambria Math" w:hAnsi="Cambria Math"/>
                <w:color w:val="212121"/>
              </w:rPr>
              <m:t>i,t</m:t>
            </m:r>
          </m:sub>
        </m:sSub>
      </m:oMath>
      <w:r>
        <w:rPr>
          <w:color w:val="212121"/>
        </w:rPr>
        <w:t xml:space="preserve"> is the i</w:t>
      </w:r>
      <w:r w:rsidRPr="00644AA1">
        <w:rPr>
          <w:color w:val="212121"/>
          <w:vertAlign w:val="superscript"/>
        </w:rPr>
        <w:t>th</w:t>
      </w:r>
      <w:r>
        <w:rPr>
          <w:color w:val="212121"/>
        </w:rPr>
        <w:t xml:space="preserve"> minute return on day </w:t>
      </w:r>
      <w:r w:rsidRPr="00644AA1">
        <w:rPr>
          <w:i/>
          <w:iCs/>
          <w:color w:val="212121"/>
        </w:rPr>
        <w:t>t</w:t>
      </w:r>
      <w:r>
        <w:rPr>
          <w:color w:val="212121"/>
        </w:rPr>
        <w:t xml:space="preserve">, </w:t>
      </w:r>
      <w:r w:rsidRPr="00644AA1">
        <w:rPr>
          <w:i/>
          <w:iCs/>
          <w:color w:val="212121"/>
        </w:rPr>
        <w:t xml:space="preserve">n </w:t>
      </w:r>
      <w:r>
        <w:rPr>
          <w:color w:val="212121"/>
        </w:rPr>
        <w:t>is the number of trading minutes for each day, and</w:t>
      </w:r>
      <m:oMath>
        <m:r>
          <w:rPr>
            <w:rFonts w:ascii="Cambria Math" w:hAnsi="Cambria Math"/>
            <w:color w:val="212121"/>
          </w:rPr>
          <m:t xml:space="preserve"> </m:t>
        </m:r>
        <m:sSub>
          <m:sSubPr>
            <m:ctrlPr>
              <w:rPr>
                <w:rFonts w:ascii="Cambria Math" w:hAnsi="Cambria Math"/>
                <w:i/>
                <w:color w:val="212121"/>
              </w:rPr>
            </m:ctrlPr>
          </m:sSubPr>
          <m:e>
            <m:r>
              <w:rPr>
                <w:rFonts w:ascii="Cambria Math" w:hAnsi="Cambria Math"/>
                <w:color w:val="212121"/>
              </w:rPr>
              <m:t>P</m:t>
            </m:r>
          </m:e>
          <m:sub>
            <m:r>
              <w:rPr>
                <w:rFonts w:ascii="Cambria Math" w:hAnsi="Cambria Math"/>
                <w:color w:val="212121"/>
              </w:rPr>
              <m:t>i,t</m:t>
            </m:r>
          </m:sub>
        </m:sSub>
      </m:oMath>
      <w:r>
        <w:rPr>
          <w:color w:val="212121"/>
        </w:rPr>
        <w:t xml:space="preserve"> is the closing price for the i</w:t>
      </w:r>
      <w:r w:rsidRPr="000C178E">
        <w:rPr>
          <w:color w:val="212121"/>
          <w:vertAlign w:val="superscript"/>
        </w:rPr>
        <w:t>th</w:t>
      </w:r>
      <w:r>
        <w:rPr>
          <w:color w:val="212121"/>
        </w:rPr>
        <w:t xml:space="preserve"> minute for day </w:t>
      </w:r>
      <w:r w:rsidRPr="000C178E">
        <w:rPr>
          <w:i/>
          <w:iCs/>
          <w:color w:val="212121"/>
        </w:rPr>
        <w:t>t</w:t>
      </w:r>
      <w:r>
        <w:rPr>
          <w:color w:val="212121"/>
        </w:rPr>
        <w:t xml:space="preserve">. </w:t>
      </w:r>
    </w:p>
    <w:p w14:paraId="28E51963" w14:textId="77777777" w:rsidR="003E07E4" w:rsidRPr="000C178E" w:rsidRDefault="003E07E4" w:rsidP="00146464">
      <w:pPr>
        <w:pStyle w:val="NormalWeb"/>
        <w:shd w:val="clear" w:color="auto" w:fill="FFFFFF"/>
        <w:spacing w:after="150"/>
        <w:rPr>
          <w:color w:val="212121"/>
        </w:rPr>
      </w:pPr>
    </w:p>
    <w:p w14:paraId="33CF2510" w14:textId="77777777" w:rsidR="00146464" w:rsidRPr="00F802EA" w:rsidRDefault="00146464" w:rsidP="003E07E4">
      <w:pPr>
        <w:pStyle w:val="Heading2"/>
      </w:pPr>
      <w:bookmarkStart w:id="9" w:name="_Toc39843397"/>
      <w:r w:rsidRPr="00F802EA">
        <w:t>Implied volatility</w:t>
      </w:r>
      <w:bookmarkEnd w:id="9"/>
    </w:p>
    <w:p w14:paraId="2CCDB3BA" w14:textId="2133506B" w:rsidR="00146464" w:rsidRDefault="00146464" w:rsidP="006E3815">
      <w:pPr>
        <w:pStyle w:val="NormalWeb"/>
        <w:shd w:val="clear" w:color="auto" w:fill="FFFFFF"/>
        <w:spacing w:after="150"/>
        <w:ind w:firstLine="720"/>
        <w:rPr>
          <w:color w:val="212121"/>
        </w:rPr>
      </w:pPr>
      <w:r>
        <w:rPr>
          <w:color w:val="212121"/>
        </w:rPr>
        <w:t xml:space="preserve">I use SSE 50 ETF option quotes from March 2, 2015 to April 3, 2020. The options written on the SSE 50 ETF are the first and the most actively traded European-style option contracts in the Chinese market. I construct the implied volatility of SSE 50 ETF option (IV) based on </w:t>
      </w:r>
      <w:r w:rsidR="00A614BA">
        <w:rPr>
          <w:color w:val="212121"/>
        </w:rPr>
        <w:t xml:space="preserve">the </w:t>
      </w:r>
      <w:r>
        <w:rPr>
          <w:color w:val="212121"/>
        </w:rPr>
        <w:t xml:space="preserve">VIX Whitepaper (Chicago Board Options Exchange, 2003). Small adjustments are made in the calculation to accommodate </w:t>
      </w:r>
      <w:r w:rsidRPr="007C353D">
        <w:rPr>
          <w:color w:val="212121"/>
        </w:rPr>
        <w:t xml:space="preserve">the specificities </w:t>
      </w:r>
      <w:r>
        <w:rPr>
          <w:color w:val="212121"/>
        </w:rPr>
        <w:t xml:space="preserve">of this option contract, which </w:t>
      </w:r>
      <w:r>
        <w:rPr>
          <w:color w:val="212121"/>
        </w:rPr>
        <w:lastRenderedPageBreak/>
        <w:t xml:space="preserve">corresponds to the calculation methods of iVX. As I have introduced in the previous section, SSE published iVIX on June 2, 2015, revised it to be real-time updating on November 28, 2016, and changed the name of this implied volatility index to iVX. Therefore, I collect historical data of iVIX and iVX published by SSE. I then use it to test the validity of the implied volatility (IV) that I construct </w:t>
      </w:r>
      <w:r>
        <w:rPr>
          <w:rFonts w:hint="eastAsia"/>
          <w:color w:val="212121"/>
        </w:rPr>
        <w:t>with</w:t>
      </w:r>
      <w:r>
        <w:rPr>
          <w:color w:val="212121"/>
        </w:rPr>
        <w:t xml:space="preserve"> SSE 50 ETF option transaction data. </w:t>
      </w:r>
      <w:r w:rsidRPr="004A6371">
        <w:rPr>
          <w:color w:val="212121"/>
        </w:rPr>
        <w:t>Fig. 1 plots</w:t>
      </w:r>
      <w:r>
        <w:rPr>
          <w:color w:val="212121"/>
        </w:rPr>
        <w:t xml:space="preserve"> </w:t>
      </w:r>
      <w:r w:rsidRPr="004A6371">
        <w:rPr>
          <w:color w:val="212121"/>
        </w:rPr>
        <w:t>the initial iVIX and the revised iVX</w:t>
      </w:r>
      <w:r>
        <w:rPr>
          <w:color w:val="212121"/>
        </w:rPr>
        <w:t xml:space="preserve"> on one series</w:t>
      </w:r>
      <w:r w:rsidRPr="004A6371">
        <w:rPr>
          <w:color w:val="212121"/>
        </w:rPr>
        <w:t xml:space="preserve">, and </w:t>
      </w:r>
      <w:r>
        <w:rPr>
          <w:color w:val="212121"/>
        </w:rPr>
        <w:t xml:space="preserve">IV this paper constructs on the other, from June 2, 2015 to February 14, 2018, when SSE first launched and later suspended the release of this index. As shown in Fig. 1, IV has a strong comovement and close numerical values with SSE published volatility index, especially with iVX after November 2016. Therefore, it is valid for this paper to use the above methods to construct the VIX-type implied volatility of SSE 50 ETF option (IV) and perform further analysis. </w:t>
      </w:r>
    </w:p>
    <w:p w14:paraId="1855E61B" w14:textId="77777777" w:rsidR="00146464" w:rsidRDefault="00146464" w:rsidP="00146464">
      <w:pPr>
        <w:pStyle w:val="NormalWeb"/>
        <w:shd w:val="clear" w:color="auto" w:fill="FFFFFF"/>
        <w:spacing w:line="240" w:lineRule="auto"/>
        <w:ind w:firstLine="720"/>
        <w:jc w:val="center"/>
        <w:rPr>
          <w:color w:val="212121"/>
        </w:rPr>
      </w:pPr>
      <w:r>
        <w:rPr>
          <w:rFonts w:hint="eastAsia"/>
          <w:noProof/>
          <w:color w:val="212121"/>
        </w:rPr>
        <w:drawing>
          <wp:inline distT="0" distB="0" distL="0" distR="0" wp14:anchorId="0D9E517F" wp14:editId="2DF966F5">
            <wp:extent cx="4320000" cy="2566663"/>
            <wp:effectExtent l="0" t="0" r="0" b="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X-IV.png"/>
                    <pic:cNvPicPr/>
                  </pic:nvPicPr>
                  <pic:blipFill rotWithShape="1">
                    <a:blip r:embed="rId8" cstate="print">
                      <a:extLst>
                        <a:ext uri="{28A0092B-C50C-407E-A947-70E740481C1C}">
                          <a14:useLocalDpi xmlns:a14="http://schemas.microsoft.com/office/drawing/2010/main" val="0"/>
                        </a:ext>
                      </a:extLst>
                    </a:blip>
                    <a:srcRect l="465" t="1724" r="398" b="831"/>
                    <a:stretch/>
                  </pic:blipFill>
                  <pic:spPr bwMode="auto">
                    <a:xfrm>
                      <a:off x="0" y="0"/>
                      <a:ext cx="4320000" cy="2566663"/>
                    </a:xfrm>
                    <a:prstGeom prst="rect">
                      <a:avLst/>
                    </a:prstGeom>
                    <a:ln>
                      <a:noFill/>
                    </a:ln>
                    <a:extLst>
                      <a:ext uri="{53640926-AAD7-44D8-BBD7-CCE9431645EC}">
                        <a14:shadowObscured xmlns:a14="http://schemas.microsoft.com/office/drawing/2010/main"/>
                      </a:ext>
                    </a:extLst>
                  </pic:spPr>
                </pic:pic>
              </a:graphicData>
            </a:graphic>
          </wp:inline>
        </w:drawing>
      </w:r>
    </w:p>
    <w:p w14:paraId="326952E8" w14:textId="780BAF73" w:rsidR="00146464" w:rsidRDefault="00146464" w:rsidP="00146464">
      <w:pPr>
        <w:pStyle w:val="NormalWeb"/>
        <w:shd w:val="clear" w:color="auto" w:fill="FFFFFF"/>
        <w:spacing w:before="40" w:after="40" w:line="240" w:lineRule="auto"/>
        <w:rPr>
          <w:color w:val="212121"/>
        </w:rPr>
      </w:pPr>
      <w:r w:rsidRPr="005A316B">
        <w:rPr>
          <w:color w:val="212121"/>
        </w:rPr>
        <w:t xml:space="preserve">Fig. 1. Time-series plot of SSE-published implied volatility index (iVIX, iVX) and the implied volatility levels this paper constructs (IV). The </w:t>
      </w:r>
      <w:r w:rsidR="005A316B">
        <w:rPr>
          <w:color w:val="212121"/>
        </w:rPr>
        <w:t>plotted</w:t>
      </w:r>
      <w:r w:rsidRPr="005A316B">
        <w:rPr>
          <w:color w:val="212121"/>
        </w:rPr>
        <w:t xml:space="preserve"> period </w:t>
      </w:r>
      <w:r w:rsidR="00A109F2">
        <w:rPr>
          <w:color w:val="212121"/>
        </w:rPr>
        <w:t xml:space="preserve">is </w:t>
      </w:r>
      <w:r w:rsidRPr="005A316B">
        <w:rPr>
          <w:color w:val="212121"/>
        </w:rPr>
        <w:t>from June 2, 2015 to February 14, 2018</w:t>
      </w:r>
      <w:r w:rsidR="00A109F2">
        <w:rPr>
          <w:color w:val="212121"/>
        </w:rPr>
        <w:t>.</w:t>
      </w:r>
    </w:p>
    <w:p w14:paraId="7356B700" w14:textId="77777777" w:rsidR="003E07E4" w:rsidRPr="005A316B" w:rsidRDefault="003E07E4" w:rsidP="00146464">
      <w:pPr>
        <w:pStyle w:val="NormalWeb"/>
        <w:shd w:val="clear" w:color="auto" w:fill="FFFFFF"/>
        <w:spacing w:before="40" w:after="40" w:line="240" w:lineRule="auto"/>
        <w:rPr>
          <w:color w:val="212121"/>
        </w:rPr>
      </w:pPr>
    </w:p>
    <w:p w14:paraId="0795DD06" w14:textId="1B4CEB46" w:rsidR="00146464" w:rsidRDefault="00146464" w:rsidP="00146464">
      <w:pPr>
        <w:pStyle w:val="NormalWeb"/>
        <w:shd w:val="clear" w:color="auto" w:fill="FFFFFF"/>
        <w:spacing w:line="240" w:lineRule="auto"/>
        <w:ind w:firstLine="720"/>
        <w:rPr>
          <w:color w:val="212121"/>
          <w:sz w:val="22"/>
          <w:szCs w:val="22"/>
        </w:rPr>
      </w:pPr>
    </w:p>
    <w:p w14:paraId="75821C34" w14:textId="6FD094CA" w:rsidR="00146464" w:rsidRPr="00FC3FA3" w:rsidRDefault="00146464" w:rsidP="003E07E4">
      <w:pPr>
        <w:pStyle w:val="Heading2"/>
      </w:pPr>
      <w:bookmarkStart w:id="10" w:name="_Toc39843398"/>
      <w:r>
        <w:lastRenderedPageBreak/>
        <w:t xml:space="preserve">GARCH </w:t>
      </w:r>
      <w:r w:rsidR="003E07E4">
        <w:t xml:space="preserve">(1,1) </w:t>
      </w:r>
      <w:r>
        <w:t>forecasted volatility</w:t>
      </w:r>
      <w:bookmarkEnd w:id="10"/>
    </w:p>
    <w:p w14:paraId="1B80F034" w14:textId="27D16683" w:rsidR="00146464" w:rsidRDefault="0048385E" w:rsidP="006E3815">
      <w:pPr>
        <w:rPr>
          <w:color w:val="212121"/>
        </w:rPr>
      </w:pPr>
      <w:r w:rsidRPr="0048385E">
        <w:rPr>
          <w:color w:val="212121"/>
        </w:rPr>
        <w:t xml:space="preserve">Among the various time series models, </w:t>
      </w:r>
      <w:r w:rsidRPr="0048385E">
        <w:rPr>
          <w:rFonts w:ascii="Times New Roman" w:eastAsia="Times New Roman" w:hAnsi="Times New Roman" w:cs="Times New Roman"/>
          <w:kern w:val="0"/>
          <w:lang w:val="en-CN" w:eastAsia="zh-CN"/>
        </w:rPr>
        <w:t>autoregressive conditional heteroscedasticity models</w:t>
      </w:r>
      <w:r>
        <w:rPr>
          <w:rFonts w:ascii="Times New Roman" w:eastAsia="Times New Roman" w:hAnsi="Times New Roman" w:cs="Times New Roman"/>
          <w:kern w:val="0"/>
          <w:lang w:eastAsia="zh-CN"/>
        </w:rPr>
        <w:t xml:space="preserve"> (ARCH) and its</w:t>
      </w:r>
      <w:r w:rsidR="00EF3D64">
        <w:rPr>
          <w:rFonts w:ascii="Times New Roman" w:eastAsia="Times New Roman" w:hAnsi="Times New Roman" w:cs="Times New Roman"/>
          <w:kern w:val="0"/>
          <w:lang w:eastAsia="zh-CN"/>
        </w:rPr>
        <w:t xml:space="preserve"> class </w:t>
      </w:r>
      <w:r w:rsidRPr="0048385E">
        <w:rPr>
          <w:color w:val="212121"/>
        </w:rPr>
        <w:t xml:space="preserve">are </w:t>
      </w:r>
      <w:r>
        <w:rPr>
          <w:color w:val="212121"/>
        </w:rPr>
        <w:t xml:space="preserve">considered as </w:t>
      </w:r>
      <w:r w:rsidRPr="0048385E">
        <w:rPr>
          <w:color w:val="212121"/>
        </w:rPr>
        <w:t xml:space="preserve">the most </w:t>
      </w:r>
      <w:r>
        <w:rPr>
          <w:color w:val="212121"/>
        </w:rPr>
        <w:t>popular and commonly</w:t>
      </w:r>
      <w:r w:rsidRPr="0048385E">
        <w:rPr>
          <w:color w:val="212121"/>
        </w:rPr>
        <w:t xml:space="preserve"> used models in finance </w:t>
      </w:r>
      <w:r>
        <w:rPr>
          <w:color w:val="212121"/>
        </w:rPr>
        <w:t>to estimate volatility</w:t>
      </w:r>
      <w:r w:rsidRPr="0048385E">
        <w:rPr>
          <w:color w:val="212121"/>
        </w:rPr>
        <w:t>.</w:t>
      </w:r>
      <w:r>
        <w:rPr>
          <w:color w:val="212121"/>
        </w:rPr>
        <w:t xml:space="preserve"> </w:t>
      </w:r>
      <w:r w:rsidR="00EF3D64">
        <w:rPr>
          <w:color w:val="212121"/>
        </w:rPr>
        <w:t>Introduced first</w:t>
      </w:r>
      <w:r w:rsidRPr="0048385E">
        <w:rPr>
          <w:color w:val="212121"/>
        </w:rPr>
        <w:t xml:space="preserve"> by Engle</w:t>
      </w:r>
      <w:r>
        <w:rPr>
          <w:color w:val="212121"/>
        </w:rPr>
        <w:t xml:space="preserve"> (</w:t>
      </w:r>
      <w:r w:rsidR="00EF3D64">
        <w:rPr>
          <w:color w:val="212121"/>
        </w:rPr>
        <w:t>1982</w:t>
      </w:r>
      <w:r>
        <w:rPr>
          <w:color w:val="212121"/>
        </w:rPr>
        <w:t>)</w:t>
      </w:r>
      <w:r w:rsidRPr="0048385E">
        <w:rPr>
          <w:color w:val="212121"/>
        </w:rPr>
        <w:t xml:space="preserve">, </w:t>
      </w:r>
      <w:r w:rsidR="00EF3D64">
        <w:rPr>
          <w:color w:val="212121"/>
        </w:rPr>
        <w:t xml:space="preserve">the </w:t>
      </w:r>
      <w:r w:rsidR="00EF3D64" w:rsidRPr="00EF3D64">
        <w:rPr>
          <w:color w:val="212121"/>
        </w:rPr>
        <w:t>ARCH model expanded</w:t>
      </w:r>
      <w:r w:rsidR="00EF3D64">
        <w:rPr>
          <w:color w:val="212121"/>
        </w:rPr>
        <w:t xml:space="preserve"> </w:t>
      </w:r>
      <w:r w:rsidR="00EF3D64" w:rsidRPr="00EF3D64">
        <w:rPr>
          <w:color w:val="212121"/>
        </w:rPr>
        <w:t>into the generalized autoregressive conditional heteroscedasticity (GARCH) model by</w:t>
      </w:r>
      <w:r w:rsidR="00EF3D64">
        <w:rPr>
          <w:color w:val="212121"/>
        </w:rPr>
        <w:t xml:space="preserve"> </w:t>
      </w:r>
      <w:r w:rsidR="00EF3D64" w:rsidRPr="00EF3D64">
        <w:rPr>
          <w:color w:val="212121"/>
        </w:rPr>
        <w:t>Bollerslev (1986).</w:t>
      </w:r>
      <w:r w:rsidR="00EF3D64">
        <w:rPr>
          <w:color w:val="212121"/>
        </w:rPr>
        <w:t xml:space="preserve"> </w:t>
      </w:r>
      <w:r w:rsidR="00C77845" w:rsidRPr="00766117">
        <w:rPr>
          <w:color w:val="212121"/>
        </w:rPr>
        <w:t xml:space="preserve">Empirical evidence supports that GARCH (1,1) </w:t>
      </w:r>
      <w:r w:rsidR="004C7958">
        <w:rPr>
          <w:color w:val="212121"/>
        </w:rPr>
        <w:t xml:space="preserve">is sufficient for a good modeling </w:t>
      </w:r>
      <w:r w:rsidR="00C77845" w:rsidRPr="00766117">
        <w:rPr>
          <w:color w:val="212121"/>
        </w:rPr>
        <w:t xml:space="preserve">in many financial </w:t>
      </w:r>
      <w:r w:rsidRPr="00766117">
        <w:rPr>
          <w:color w:val="212121"/>
        </w:rPr>
        <w:t xml:space="preserve">time </w:t>
      </w:r>
      <w:r w:rsidR="00C77845" w:rsidRPr="00766117">
        <w:rPr>
          <w:color w:val="212121"/>
        </w:rPr>
        <w:t>series (</w:t>
      </w:r>
      <w:r w:rsidR="00152CE8" w:rsidRPr="00152CE8">
        <w:rPr>
          <w:color w:val="212121"/>
        </w:rPr>
        <w:t>Engle and Patton</w:t>
      </w:r>
      <w:r w:rsidR="00152CE8">
        <w:rPr>
          <w:color w:val="212121"/>
        </w:rPr>
        <w:t xml:space="preserve">, </w:t>
      </w:r>
      <w:r w:rsidR="00152CE8" w:rsidRPr="00152CE8">
        <w:rPr>
          <w:color w:val="212121"/>
        </w:rPr>
        <w:t>2001</w:t>
      </w:r>
      <w:r w:rsidR="00EF3D64">
        <w:rPr>
          <w:color w:val="212121"/>
        </w:rPr>
        <w:t xml:space="preserve">). </w:t>
      </w:r>
      <w:r w:rsidR="00C77845">
        <w:rPr>
          <w:color w:val="212121"/>
        </w:rPr>
        <w:t>T</w:t>
      </w:r>
      <w:r w:rsidR="00C77845" w:rsidRPr="008A12FC">
        <w:rPr>
          <w:color w:val="212121"/>
        </w:rPr>
        <w:t xml:space="preserve">his paper </w:t>
      </w:r>
      <w:r w:rsidR="00D06C35">
        <w:rPr>
          <w:color w:val="212121"/>
        </w:rPr>
        <w:t xml:space="preserve">further </w:t>
      </w:r>
      <w:r w:rsidR="00C77845">
        <w:rPr>
          <w:color w:val="212121"/>
        </w:rPr>
        <w:t>uses</w:t>
      </w:r>
      <w:r w:rsidR="00C77845" w:rsidRPr="008A12FC">
        <w:rPr>
          <w:color w:val="212121"/>
        </w:rPr>
        <w:t xml:space="preserve"> GARCH</w:t>
      </w:r>
      <w:r w:rsidR="00C77845">
        <w:rPr>
          <w:color w:val="212121"/>
        </w:rPr>
        <w:t xml:space="preserve"> (1,1) </w:t>
      </w:r>
      <w:r w:rsidR="00D06C35">
        <w:rPr>
          <w:color w:val="212121"/>
        </w:rPr>
        <w:t xml:space="preserve">forecasted volatility </w:t>
      </w:r>
      <w:r w:rsidR="00C77845" w:rsidRPr="008A12FC">
        <w:rPr>
          <w:color w:val="212121"/>
        </w:rPr>
        <w:t>and compares it with</w:t>
      </w:r>
      <w:r w:rsidR="00C77845">
        <w:rPr>
          <w:color w:val="212121"/>
        </w:rPr>
        <w:t xml:space="preserve"> IV in terms of their predictive power</w:t>
      </w:r>
      <w:r w:rsidR="00EF3D64">
        <w:rPr>
          <w:color w:val="212121"/>
        </w:rPr>
        <w:t xml:space="preserve"> for future realized volatility</w:t>
      </w:r>
      <w:r w:rsidR="00C77845">
        <w:rPr>
          <w:color w:val="212121"/>
        </w:rPr>
        <w:t>.</w:t>
      </w:r>
      <w:r w:rsidR="00C77845" w:rsidRPr="00766117">
        <w:rPr>
          <w:color w:val="212121"/>
        </w:rPr>
        <w:t xml:space="preserve"> </w:t>
      </w:r>
      <w:r w:rsidR="00C77845" w:rsidRPr="006942DB">
        <w:rPr>
          <w:color w:val="212121"/>
        </w:rPr>
        <w:t>Daily returns</w:t>
      </w:r>
      <w:r w:rsidR="00CE6925">
        <w:rPr>
          <w:color w:val="212121"/>
        </w:rPr>
        <w:t xml:space="preserve"> of SSE 50 ETF </w:t>
      </w:r>
      <w:r w:rsidR="00C77845" w:rsidRPr="006942DB">
        <w:rPr>
          <w:color w:val="212121"/>
        </w:rPr>
        <w:t>from Mar</w:t>
      </w:r>
      <w:r w:rsidR="000E2FB0">
        <w:rPr>
          <w:color w:val="212121"/>
        </w:rPr>
        <w:t>ch</w:t>
      </w:r>
      <w:r w:rsidR="00C77845" w:rsidRPr="006942DB">
        <w:rPr>
          <w:color w:val="212121"/>
        </w:rPr>
        <w:t xml:space="preserve"> 2015 to Apr</w:t>
      </w:r>
      <w:r w:rsidR="000E2FB0">
        <w:rPr>
          <w:color w:val="212121"/>
        </w:rPr>
        <w:t>il</w:t>
      </w:r>
      <w:r w:rsidR="00C77845" w:rsidRPr="006942DB">
        <w:rPr>
          <w:color w:val="212121"/>
        </w:rPr>
        <w:t xml:space="preserve"> 2020 is used </w:t>
      </w:r>
      <w:r w:rsidR="00C77845">
        <w:rPr>
          <w:color w:val="212121"/>
        </w:rPr>
        <w:t>and the GARCH</w:t>
      </w:r>
      <w:r w:rsidR="00D06C35">
        <w:rPr>
          <w:color w:val="212121"/>
        </w:rPr>
        <w:t xml:space="preserve"> (1,1)</w:t>
      </w:r>
      <w:r w:rsidR="00C77845">
        <w:rPr>
          <w:color w:val="212121"/>
        </w:rPr>
        <w:t xml:space="preserve"> forecasted volatility is obtained by:</w:t>
      </w:r>
    </w:p>
    <w:p w14:paraId="2246F1A4" w14:textId="6BB2AE9D" w:rsidR="00146464" w:rsidRDefault="00C44556" w:rsidP="00CE6925">
      <w:pPr>
        <w:pStyle w:val="NormalWeb"/>
        <w:shd w:val="clear" w:color="auto" w:fill="FFFFFF"/>
        <w:spacing w:after="150"/>
        <w:ind w:firstLine="720"/>
        <w:jc w:val="center"/>
        <w:rPr>
          <w:color w:val="212121"/>
        </w:rPr>
      </w:pPr>
      <m:oMathPara>
        <m:oMath>
          <m:sSubSup>
            <m:sSubSupPr>
              <m:ctrlPr>
                <w:rPr>
                  <w:rFonts w:ascii="Cambria Math" w:hAnsi="Cambria Math"/>
                  <w:i/>
                  <w:iCs/>
                  <w:color w:val="212121"/>
                  <w:lang w:val="en-CN"/>
                </w:rPr>
              </m:ctrlPr>
            </m:sSubSupPr>
            <m:e>
              <m:r>
                <w:rPr>
                  <w:rFonts w:ascii="Cambria Math" w:hAnsi="Cambria Math"/>
                  <w:color w:val="212121"/>
                  <w:lang w:val="en-CN"/>
                </w:rPr>
                <m:t>σ</m:t>
              </m:r>
            </m:e>
            <m:sub>
              <m:r>
                <w:rPr>
                  <w:rFonts w:ascii="Cambria Math" w:hAnsi="Cambria Math"/>
                  <w:color w:val="212121"/>
                  <w:lang w:val="en-CN"/>
                </w:rPr>
                <m:t>t+1</m:t>
              </m:r>
            </m:sub>
            <m:sup>
              <m:r>
                <w:rPr>
                  <w:rFonts w:ascii="Cambria Math" w:hAnsi="Cambria Math"/>
                  <w:color w:val="212121"/>
                  <w:lang w:val="en-CN"/>
                </w:rPr>
                <m:t>2</m:t>
              </m:r>
            </m:sup>
          </m:sSubSup>
          <m:r>
            <w:rPr>
              <w:rFonts w:ascii="Cambria Math" w:hAnsi="Cambria Math"/>
              <w:color w:val="212121"/>
            </w:rPr>
            <m:t>= ω+ α</m:t>
          </m:r>
          <m:sSubSup>
            <m:sSubSupPr>
              <m:ctrlPr>
                <w:rPr>
                  <w:rFonts w:ascii="Cambria Math" w:hAnsi="Cambria Math"/>
                  <w:i/>
                  <w:color w:val="212121"/>
                </w:rPr>
              </m:ctrlPr>
            </m:sSubSupPr>
            <m:e>
              <m:r>
                <w:rPr>
                  <w:rFonts w:ascii="Cambria Math" w:hAnsi="Cambria Math"/>
                  <w:color w:val="212121"/>
                </w:rPr>
                <m:t>ε</m:t>
              </m:r>
            </m:e>
            <m:sub>
              <m:r>
                <w:rPr>
                  <w:rFonts w:ascii="Cambria Math" w:hAnsi="Cambria Math"/>
                  <w:color w:val="212121"/>
                </w:rPr>
                <m:t>t</m:t>
              </m:r>
            </m:sub>
            <m:sup>
              <m:r>
                <w:rPr>
                  <w:rFonts w:ascii="Cambria Math" w:hAnsi="Cambria Math"/>
                  <w:color w:val="212121"/>
                </w:rPr>
                <m:t>2</m:t>
              </m:r>
            </m:sup>
          </m:sSubSup>
          <m:r>
            <w:rPr>
              <w:rFonts w:ascii="Cambria Math" w:hAnsi="Cambria Math"/>
              <w:color w:val="212121"/>
            </w:rPr>
            <m:t>+β</m:t>
          </m:r>
          <m:sSubSup>
            <m:sSubSupPr>
              <m:ctrlPr>
                <w:rPr>
                  <w:rFonts w:ascii="Cambria Math" w:hAnsi="Cambria Math"/>
                  <w:i/>
                  <w:color w:val="212121"/>
                </w:rPr>
              </m:ctrlPr>
            </m:sSubSupPr>
            <m:e>
              <m:r>
                <w:rPr>
                  <w:rFonts w:ascii="Cambria Math" w:hAnsi="Cambria Math"/>
                  <w:color w:val="212121"/>
                </w:rPr>
                <m:t>σ</m:t>
              </m:r>
            </m:e>
            <m:sub>
              <m:r>
                <w:rPr>
                  <w:rFonts w:ascii="Cambria Math" w:hAnsi="Cambria Math"/>
                  <w:color w:val="212121"/>
                </w:rPr>
                <m:t>t</m:t>
              </m:r>
            </m:sub>
            <m:sup>
              <m:r>
                <w:rPr>
                  <w:rFonts w:ascii="Cambria Math" w:hAnsi="Cambria Math"/>
                  <w:color w:val="212121"/>
                </w:rPr>
                <m:t>2</m:t>
              </m:r>
            </m:sup>
          </m:sSubSup>
        </m:oMath>
      </m:oMathPara>
    </w:p>
    <w:p w14:paraId="3F3DFCCF" w14:textId="47C72096" w:rsidR="00A755E7" w:rsidRDefault="00146464" w:rsidP="00A755E7">
      <w:pPr>
        <w:pStyle w:val="NormalWeb"/>
        <w:shd w:val="clear" w:color="auto" w:fill="FFFFFF"/>
        <w:spacing w:after="150"/>
        <w:ind w:firstLine="720"/>
        <w:rPr>
          <w:color w:val="212121"/>
        </w:rPr>
      </w:pPr>
      <w:r>
        <w:rPr>
          <w:color w:val="212121"/>
        </w:rPr>
        <w:t>In this research, I set the forecasting length</w:t>
      </w:r>
      <w:r w:rsidR="00527FB2">
        <w:rPr>
          <w:i/>
          <w:iCs/>
          <w:color w:val="212121"/>
        </w:rPr>
        <w:t xml:space="preserve"> </w:t>
      </w:r>
      <w:r w:rsidR="00527FB2" w:rsidRPr="00527FB2">
        <w:rPr>
          <w:color w:val="212121"/>
        </w:rPr>
        <w:t xml:space="preserve">to </w:t>
      </w:r>
      <w:r>
        <w:rPr>
          <w:color w:val="212121"/>
        </w:rPr>
        <w:t>1</w:t>
      </w:r>
      <w:r w:rsidR="00577A03">
        <w:rPr>
          <w:color w:val="212121"/>
        </w:rPr>
        <w:t>, which means the</w:t>
      </w:r>
      <w:r w:rsidR="00617075">
        <w:rPr>
          <w:color w:val="212121"/>
        </w:rPr>
        <w:t>se</w:t>
      </w:r>
      <w:r w:rsidR="00577A03">
        <w:rPr>
          <w:color w:val="212121"/>
        </w:rPr>
        <w:t xml:space="preserve"> estimates are on a daily basis. Then,</w:t>
      </w:r>
      <w:r>
        <w:rPr>
          <w:color w:val="212121"/>
        </w:rPr>
        <w:t xml:space="preserve"> </w:t>
      </w:r>
      <w:r w:rsidR="00577A03">
        <w:rPr>
          <w:color w:val="212121"/>
        </w:rPr>
        <w:t xml:space="preserve">I construct these sigma estimates </w:t>
      </w:r>
      <w:r>
        <w:rPr>
          <w:color w:val="212121"/>
        </w:rPr>
        <w:t xml:space="preserve">be on an equivalent </w:t>
      </w:r>
      <w:r w:rsidR="00577A03">
        <w:rPr>
          <w:color w:val="212121"/>
        </w:rPr>
        <w:t xml:space="preserve">annualized </w:t>
      </w:r>
      <w:r>
        <w:rPr>
          <w:color w:val="212121"/>
        </w:rPr>
        <w:t>scale</w:t>
      </w:r>
      <w:r w:rsidR="00755AB7">
        <w:rPr>
          <w:color w:val="212121"/>
        </w:rPr>
        <w:t xml:space="preserve"> as realized volatility in the previous subsection</w:t>
      </w:r>
      <w:r>
        <w:rPr>
          <w:color w:val="212121"/>
        </w:rPr>
        <w:t>:</w:t>
      </w:r>
    </w:p>
    <w:p w14:paraId="19032BEA" w14:textId="48185529" w:rsidR="00146464" w:rsidRDefault="00C44556" w:rsidP="00A755E7">
      <w:pPr>
        <w:pStyle w:val="NormalWeb"/>
        <w:shd w:val="clear" w:color="auto" w:fill="FFFFFF"/>
        <w:spacing w:after="150"/>
        <w:ind w:firstLine="720"/>
        <w:jc w:val="center"/>
        <w:rPr>
          <w:color w:val="212121"/>
        </w:rPr>
      </w:pPr>
      <m:oMathPara>
        <m:oMath>
          <m:sSub>
            <m:sSubPr>
              <m:ctrlPr>
                <w:rPr>
                  <w:rFonts w:ascii="Cambria Math" w:hAnsi="Cambria Math"/>
                  <w:i/>
                  <w:iCs/>
                  <w:color w:val="212121"/>
                  <w:lang w:val="en-CN"/>
                </w:rPr>
              </m:ctrlPr>
            </m:sSubPr>
            <m:e>
              <m:r>
                <w:rPr>
                  <w:rFonts w:ascii="Cambria Math" w:hAnsi="Cambria Math"/>
                  <w:color w:val="212121"/>
                  <w:lang w:val="en-CN"/>
                </w:rPr>
                <m:t>σ</m:t>
              </m:r>
            </m:e>
            <m:sub>
              <m:r>
                <w:rPr>
                  <w:rFonts w:ascii="Cambria Math" w:hAnsi="Cambria Math"/>
                  <w:color w:val="212121"/>
                  <w:lang w:val="en-CN"/>
                </w:rPr>
                <m:t>GARCH,t</m:t>
              </m:r>
            </m:sub>
          </m:sSub>
          <m:r>
            <w:rPr>
              <w:rFonts w:ascii="Cambria Math" w:hAnsi="Cambria Math"/>
              <w:color w:val="212121"/>
            </w:rPr>
            <m:t>=</m:t>
          </m:r>
          <m:rad>
            <m:radPr>
              <m:degHide m:val="1"/>
              <m:ctrlPr>
                <w:rPr>
                  <w:rFonts w:ascii="Cambria Math" w:hAnsi="Cambria Math"/>
                  <w:i/>
                  <w:color w:val="212121"/>
                </w:rPr>
              </m:ctrlPr>
            </m:radPr>
            <m:deg/>
            <m:e>
              <m:r>
                <w:rPr>
                  <w:rFonts w:ascii="Cambria Math" w:hAnsi="Cambria Math"/>
                  <w:color w:val="212121"/>
                </w:rPr>
                <m:t>252</m:t>
              </m:r>
            </m:e>
          </m:rad>
          <m:r>
            <w:rPr>
              <w:rFonts w:ascii="Cambria Math" w:eastAsia="SimSun" w:hAnsi="Cambria Math" w:cs="SimSun"/>
              <w:color w:val="212121"/>
            </w:rPr>
            <m:t>(</m:t>
          </m:r>
          <m:r>
            <w:rPr>
              <w:rFonts w:ascii="Cambria Math" w:hAnsi="Cambria Math"/>
              <w:color w:val="212121"/>
            </w:rPr>
            <m:t>100</m:t>
          </m:r>
          <m:sSub>
            <m:sSubPr>
              <m:ctrlPr>
                <w:rPr>
                  <w:rFonts w:ascii="Cambria Math" w:hAnsi="Cambria Math"/>
                  <w:i/>
                  <w:color w:val="212121"/>
                </w:rPr>
              </m:ctrlPr>
            </m:sSubPr>
            <m:e>
              <m:acc>
                <m:accPr>
                  <m:ctrlPr>
                    <w:rPr>
                      <w:rFonts w:ascii="Cambria Math" w:hAnsi="Cambria Math"/>
                      <w:i/>
                      <w:color w:val="212121"/>
                    </w:rPr>
                  </m:ctrlPr>
                </m:accPr>
                <m:e>
                  <m:r>
                    <w:rPr>
                      <w:rFonts w:ascii="Cambria Math" w:hAnsi="Cambria Math"/>
                      <w:color w:val="212121"/>
                    </w:rPr>
                    <m:t>σ</m:t>
                  </m:r>
                </m:e>
              </m:acc>
            </m:e>
            <m:sub>
              <m:r>
                <w:rPr>
                  <w:rFonts w:ascii="Cambria Math" w:hAnsi="Cambria Math"/>
                  <w:color w:val="212121"/>
                </w:rPr>
                <m:t>t</m:t>
              </m:r>
            </m:sub>
          </m:sSub>
          <m:r>
            <w:rPr>
              <w:rFonts w:ascii="Cambria Math" w:hAnsi="Cambria Math"/>
              <w:color w:val="212121"/>
            </w:rPr>
            <m:t>)</m:t>
          </m:r>
        </m:oMath>
      </m:oMathPara>
    </w:p>
    <w:p w14:paraId="45AEDCC3" w14:textId="43BE55E0" w:rsidR="00C77845" w:rsidRPr="00766117" w:rsidRDefault="00C77845" w:rsidP="00C77845">
      <w:pPr>
        <w:pStyle w:val="NormalWeb"/>
        <w:shd w:val="clear" w:color="auto" w:fill="FFFFFF"/>
        <w:spacing w:after="150"/>
        <w:ind w:firstLine="720"/>
        <w:rPr>
          <w:color w:val="212121"/>
        </w:rPr>
      </w:pPr>
      <w:r w:rsidRPr="006942DB">
        <w:rPr>
          <w:color w:val="212121"/>
        </w:rPr>
        <w:t xml:space="preserve">I construct the </w:t>
      </w:r>
      <w:r>
        <w:rPr>
          <w:color w:val="212121"/>
        </w:rPr>
        <w:t xml:space="preserve">GARCH (1,1) model </w:t>
      </w:r>
      <w:r w:rsidR="00527FB2">
        <w:rPr>
          <w:color w:val="212121"/>
        </w:rPr>
        <w:t xml:space="preserve">with the </w:t>
      </w:r>
      <w:r w:rsidR="00527FB2" w:rsidRPr="006942DB">
        <w:rPr>
          <w:color w:val="212121"/>
        </w:rPr>
        <w:t xml:space="preserve">first 696 </w:t>
      </w:r>
      <w:r w:rsidR="00F32D2A">
        <w:rPr>
          <w:color w:val="212121"/>
        </w:rPr>
        <w:t xml:space="preserve">return observations </w:t>
      </w:r>
      <w:r w:rsidRPr="006942DB">
        <w:rPr>
          <w:color w:val="212121"/>
        </w:rPr>
        <w:t>and</w:t>
      </w:r>
      <w:r>
        <w:rPr>
          <w:color w:val="212121"/>
        </w:rPr>
        <w:t xml:space="preserve"> </w:t>
      </w:r>
      <w:r w:rsidR="00153F1F">
        <w:rPr>
          <w:color w:val="212121"/>
        </w:rPr>
        <w:t>use it to</w:t>
      </w:r>
      <w:r w:rsidR="00527FB2">
        <w:rPr>
          <w:color w:val="212121"/>
        </w:rPr>
        <w:t xml:space="preserve"> </w:t>
      </w:r>
      <w:r>
        <w:rPr>
          <w:color w:val="212121"/>
        </w:rPr>
        <w:t xml:space="preserve">forecast </w:t>
      </w:r>
      <w:r w:rsidR="00153F1F">
        <w:rPr>
          <w:color w:val="212121"/>
        </w:rPr>
        <w:t>the</w:t>
      </w:r>
      <w:r w:rsidR="00F32D2A">
        <w:rPr>
          <w:color w:val="212121"/>
        </w:rPr>
        <w:t xml:space="preserve"> </w:t>
      </w:r>
      <w:r w:rsidR="006B5FCB">
        <w:rPr>
          <w:color w:val="212121"/>
        </w:rPr>
        <w:t>latter 548</w:t>
      </w:r>
      <w:r w:rsidR="00F32D2A">
        <w:rPr>
          <w:color w:val="212121"/>
        </w:rPr>
        <w:t xml:space="preserve"> volatilit</w:t>
      </w:r>
      <w:r w:rsidR="00C3557B">
        <w:rPr>
          <w:color w:val="212121"/>
        </w:rPr>
        <w:t>ies.</w:t>
      </w:r>
      <w:r w:rsidR="00F32D2A">
        <w:rPr>
          <w:rStyle w:val="FootnoteReference"/>
          <w:color w:val="212121"/>
        </w:rPr>
        <w:footnoteReference w:id="4"/>
      </w:r>
      <w:r w:rsidR="00617075">
        <w:rPr>
          <w:color w:val="212121"/>
        </w:rPr>
        <w:t xml:space="preserve"> The step of refit is set to be 1, which means after estimating the </w:t>
      </w:r>
      <w:r w:rsidR="0049210D">
        <w:rPr>
          <w:color w:val="212121"/>
        </w:rPr>
        <w:t>s</w:t>
      </w:r>
      <w:r w:rsidR="00617075">
        <w:rPr>
          <w:color w:val="212121"/>
        </w:rPr>
        <w:t xml:space="preserve">igma for period </w:t>
      </w:r>
      <m:oMath>
        <m:r>
          <w:rPr>
            <w:rFonts w:ascii="Cambria Math" w:hAnsi="Cambria Math"/>
            <w:color w:val="212121"/>
          </w:rPr>
          <m:t>t+1</m:t>
        </m:r>
      </m:oMath>
      <w:r w:rsidR="00617075">
        <w:rPr>
          <w:color w:val="212121"/>
        </w:rPr>
        <w:t xml:space="preserve">, it takes the actual </w:t>
      </w:r>
      <w:r w:rsidR="00895DFF">
        <w:rPr>
          <w:color w:val="212121"/>
        </w:rPr>
        <w:t>series</w:t>
      </w:r>
      <w:r w:rsidR="00617075">
        <w:rPr>
          <w:color w:val="212121"/>
        </w:rPr>
        <w:t xml:space="preserve"> for period </w:t>
      </w:r>
      <m:oMath>
        <m:r>
          <w:rPr>
            <w:rFonts w:ascii="Cambria Math" w:hAnsi="Cambria Math"/>
            <w:color w:val="212121"/>
          </w:rPr>
          <m:t>t+1</m:t>
        </m:r>
      </m:oMath>
      <w:r w:rsidR="00617075">
        <w:rPr>
          <w:color w:val="212121"/>
        </w:rPr>
        <w:t xml:space="preserve"> as input and refits the parameters of the GARCH model</w:t>
      </w:r>
      <w:r w:rsidR="00FC4F6D">
        <w:rPr>
          <w:color w:val="212121"/>
        </w:rPr>
        <w:t xml:space="preserve">. Then </w:t>
      </w:r>
      <w:r w:rsidR="0049210D">
        <w:rPr>
          <w:color w:val="212121"/>
        </w:rPr>
        <w:t xml:space="preserve">the model </w:t>
      </w:r>
      <w:r w:rsidR="00617075">
        <w:rPr>
          <w:color w:val="212121"/>
        </w:rPr>
        <w:t>estimates the</w:t>
      </w:r>
      <w:r w:rsidR="0049210D">
        <w:rPr>
          <w:color w:val="212121"/>
        </w:rPr>
        <w:t xml:space="preserve"> </w:t>
      </w:r>
      <w:r w:rsidR="00617075">
        <w:rPr>
          <w:color w:val="212121"/>
        </w:rPr>
        <w:t xml:space="preserve">sigma for period </w:t>
      </w:r>
      <m:oMath>
        <m:r>
          <w:rPr>
            <w:rFonts w:ascii="Cambria Math" w:hAnsi="Cambria Math"/>
            <w:color w:val="212121"/>
          </w:rPr>
          <m:t>t+2</m:t>
        </m:r>
      </m:oMath>
      <w:r w:rsidR="00617075">
        <w:rPr>
          <w:color w:val="212121"/>
        </w:rPr>
        <w:t>.</w:t>
      </w:r>
      <w:r w:rsidR="0049210D">
        <w:rPr>
          <w:color w:val="212121"/>
        </w:rPr>
        <w:t xml:space="preserve"> </w:t>
      </w:r>
      <w:r w:rsidR="00617075">
        <w:rPr>
          <w:color w:val="212121"/>
        </w:rPr>
        <w:t xml:space="preserve">Sigma estimates vs. actual is plotted in Appendix, with a </w:t>
      </w:r>
      <w:r w:rsidR="00DF5FD4">
        <w:rPr>
          <w:color w:val="212121"/>
        </w:rPr>
        <w:t xml:space="preserve">plot of </w:t>
      </w:r>
      <w:r w:rsidR="00617075">
        <w:rPr>
          <w:color w:val="212121"/>
        </w:rPr>
        <w:t xml:space="preserve">Value at Risk (VaR) </w:t>
      </w:r>
      <w:r w:rsidR="00C3557B">
        <w:rPr>
          <w:color w:val="212121"/>
        </w:rPr>
        <w:t>at 1%</w:t>
      </w:r>
      <w:r w:rsidR="00DF5FD4">
        <w:rPr>
          <w:color w:val="212121"/>
        </w:rPr>
        <w:t xml:space="preserve"> level</w:t>
      </w:r>
      <w:r w:rsidR="00C3557B">
        <w:rPr>
          <w:color w:val="212121"/>
        </w:rPr>
        <w:t xml:space="preserve"> </w:t>
      </w:r>
      <w:r w:rsidR="00617075">
        <w:rPr>
          <w:color w:val="212121"/>
        </w:rPr>
        <w:t xml:space="preserve">to prove the validity of </w:t>
      </w:r>
      <w:r w:rsidR="00C3557B">
        <w:rPr>
          <w:color w:val="212121"/>
        </w:rPr>
        <w:t xml:space="preserve">the </w:t>
      </w:r>
      <w:r w:rsidR="00617075">
        <w:rPr>
          <w:color w:val="212121"/>
        </w:rPr>
        <w:t xml:space="preserve">GARCH (1,1) </w:t>
      </w:r>
      <w:r w:rsidR="00AD1EB0">
        <w:rPr>
          <w:color w:val="212121"/>
        </w:rPr>
        <w:t>model that</w:t>
      </w:r>
      <w:r w:rsidR="0049210D">
        <w:rPr>
          <w:color w:val="212121"/>
        </w:rPr>
        <w:t xml:space="preserve"> this research constructs</w:t>
      </w:r>
      <w:r w:rsidR="00617075">
        <w:rPr>
          <w:color w:val="212121"/>
        </w:rPr>
        <w:t xml:space="preserve">. </w:t>
      </w:r>
      <w:r w:rsidR="00A91889">
        <w:rPr>
          <w:color w:val="212121"/>
        </w:rPr>
        <w:t>T</w:t>
      </w:r>
      <w:r>
        <w:rPr>
          <w:color w:val="212121"/>
        </w:rPr>
        <w:t>h</w:t>
      </w:r>
      <w:r w:rsidR="0049210D">
        <w:rPr>
          <w:color w:val="212121"/>
        </w:rPr>
        <w:t xml:space="preserve">e time period of </w:t>
      </w:r>
      <w:r w:rsidR="0049210D">
        <w:rPr>
          <w:color w:val="212121"/>
        </w:rPr>
        <w:lastRenderedPageBreak/>
        <w:t>these</w:t>
      </w:r>
      <w:r>
        <w:rPr>
          <w:color w:val="212121"/>
        </w:rPr>
        <w:t xml:space="preserve"> 548 </w:t>
      </w:r>
      <w:r w:rsidR="0049210D">
        <w:rPr>
          <w:color w:val="212121"/>
        </w:rPr>
        <w:t xml:space="preserve">forecasted volatility </w:t>
      </w:r>
      <w:r>
        <w:rPr>
          <w:color w:val="212121"/>
        </w:rPr>
        <w:t xml:space="preserve">estimates are parallel to </w:t>
      </w:r>
      <w:r w:rsidRPr="006942DB">
        <w:rPr>
          <w:color w:val="212121"/>
        </w:rPr>
        <w:t>the sample period</w:t>
      </w:r>
      <w:r>
        <w:rPr>
          <w:color w:val="212121"/>
        </w:rPr>
        <w:t xml:space="preserve"> f</w:t>
      </w:r>
      <w:r w:rsidRPr="006942DB">
        <w:rPr>
          <w:color w:val="212121"/>
        </w:rPr>
        <w:t>rom Jan</w:t>
      </w:r>
      <w:r>
        <w:rPr>
          <w:color w:val="212121"/>
        </w:rPr>
        <w:t>uary</w:t>
      </w:r>
      <w:r w:rsidRPr="006942DB">
        <w:rPr>
          <w:color w:val="212121"/>
        </w:rPr>
        <w:t xml:space="preserve"> 2, 2018 to Apr</w:t>
      </w:r>
      <w:r>
        <w:rPr>
          <w:color w:val="212121"/>
        </w:rPr>
        <w:t>il</w:t>
      </w:r>
      <w:r w:rsidRPr="006942DB">
        <w:rPr>
          <w:color w:val="212121"/>
        </w:rPr>
        <w:t xml:space="preserve"> 3, 2020</w:t>
      </w:r>
      <w:r>
        <w:rPr>
          <w:color w:val="212121"/>
        </w:rPr>
        <w:t xml:space="preserve"> for the following statistical analysis</w:t>
      </w:r>
      <w:r w:rsidRPr="006942DB">
        <w:rPr>
          <w:color w:val="212121"/>
        </w:rPr>
        <w:t xml:space="preserve">. </w:t>
      </w:r>
    </w:p>
    <w:p w14:paraId="050A6767" w14:textId="175BA508" w:rsidR="007E67DE" w:rsidRPr="00146464" w:rsidRDefault="00146464" w:rsidP="006B5FCB">
      <w:pPr>
        <w:autoSpaceDE w:val="0"/>
        <w:autoSpaceDN w:val="0"/>
        <w:adjustRightInd w:val="0"/>
        <w:rPr>
          <w:color w:val="212121"/>
        </w:rPr>
      </w:pPr>
      <w:r>
        <w:rPr>
          <w:color w:val="212121"/>
        </w:rPr>
        <w:t xml:space="preserve">Table 1 reports the </w:t>
      </w:r>
      <w:r w:rsidR="003D68F9">
        <w:rPr>
          <w:color w:val="212121"/>
        </w:rPr>
        <w:t>summary</w:t>
      </w:r>
      <w:r>
        <w:rPr>
          <w:color w:val="212121"/>
        </w:rPr>
        <w:t xml:space="preserve"> statistics of the 1-min and daily close price of SSE 50 ETF, implied volatility </w:t>
      </w:r>
      <w:r w:rsidR="00C3557B">
        <w:rPr>
          <w:color w:val="212121"/>
        </w:rPr>
        <w:t>of SSE 50 ETF option</w:t>
      </w:r>
      <w:r>
        <w:rPr>
          <w:color w:val="212121"/>
        </w:rPr>
        <w:t xml:space="preserve"> (IV), realized volatility of SSE 50 ETF (RV), and the </w:t>
      </w:r>
      <w:r>
        <w:t>GARCH (1,1) volatility estimates</w:t>
      </w:r>
      <w:r>
        <w:rPr>
          <w:color w:val="212121"/>
        </w:rPr>
        <w:t xml:space="preserve">. </w:t>
      </w:r>
    </w:p>
    <w:p w14:paraId="2C8D6476" w14:textId="6D2EF2F8" w:rsidR="00146464" w:rsidRPr="00BE5063" w:rsidRDefault="00146464" w:rsidP="0042393E">
      <w:pPr>
        <w:spacing w:before="160" w:after="80" w:line="240" w:lineRule="auto"/>
        <w:ind w:firstLine="0"/>
        <w:rPr>
          <w:rFonts w:ascii="Times New Roman" w:eastAsia="Times New Roman" w:hAnsi="Times New Roman" w:cs="Times New Roman"/>
          <w:kern w:val="0"/>
          <w:lang w:eastAsia="zh-CN"/>
        </w:rPr>
      </w:pPr>
      <w:r w:rsidRPr="00BE5063">
        <w:rPr>
          <w:rFonts w:ascii="Times New Roman" w:eastAsia="Times New Roman" w:hAnsi="Times New Roman" w:cs="Times New Roman"/>
          <w:kern w:val="0"/>
          <w:lang w:eastAsia="zh-CN"/>
        </w:rPr>
        <w:t xml:space="preserve">Table 1 </w:t>
      </w:r>
      <w:r w:rsidR="003D68F9">
        <w:rPr>
          <w:rFonts w:ascii="Times New Roman" w:eastAsia="Times New Roman" w:hAnsi="Times New Roman" w:cs="Times New Roman"/>
          <w:kern w:val="0"/>
          <w:lang w:eastAsia="zh-CN"/>
        </w:rPr>
        <w:t>Summary</w:t>
      </w:r>
      <w:r w:rsidRPr="00BE5063">
        <w:rPr>
          <w:rFonts w:ascii="Times New Roman" w:eastAsia="Times New Roman" w:hAnsi="Times New Roman" w:cs="Times New Roman"/>
          <w:kern w:val="0"/>
          <w:lang w:eastAsia="zh-CN"/>
        </w:rPr>
        <w:t xml:space="preserve"> statistics </w:t>
      </w:r>
    </w:p>
    <w:tbl>
      <w:tblPr>
        <w:tblStyle w:val="TableGridLight"/>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500"/>
        <w:gridCol w:w="1172"/>
        <w:gridCol w:w="1195"/>
        <w:gridCol w:w="1356"/>
        <w:gridCol w:w="1245"/>
        <w:gridCol w:w="1421"/>
        <w:gridCol w:w="1468"/>
      </w:tblGrid>
      <w:tr w:rsidR="00146464" w14:paraId="17763829" w14:textId="77777777" w:rsidTr="00794CD7">
        <w:trPr>
          <w:trHeight w:val="389"/>
        </w:trPr>
        <w:tc>
          <w:tcPr>
            <w:tcW w:w="1500" w:type="dxa"/>
            <w:tcBorders>
              <w:top w:val="single" w:sz="4" w:space="0" w:color="auto"/>
              <w:bottom w:val="single" w:sz="4" w:space="0" w:color="auto"/>
            </w:tcBorders>
            <w:vAlign w:val="center"/>
            <w:hideMark/>
          </w:tcPr>
          <w:p w14:paraId="4753D36A" w14:textId="6D84EFA0" w:rsidR="00146464" w:rsidRPr="00BE5063" w:rsidRDefault="00794CD7" w:rsidP="00794CD7">
            <w:pPr>
              <w:pStyle w:val="NormalWeb"/>
              <w:jc w:val="center"/>
              <w:rPr>
                <w:rFonts w:ascii="Helvetica" w:hAnsi="Helvetica"/>
              </w:rPr>
            </w:pPr>
            <w:r w:rsidRPr="00794CD7">
              <w:rPr>
                <w:b/>
                <w:bCs/>
                <w:color w:val="000000"/>
              </w:rPr>
              <w:t>Variable</w:t>
            </w:r>
          </w:p>
        </w:tc>
        <w:tc>
          <w:tcPr>
            <w:tcW w:w="1172" w:type="dxa"/>
            <w:tcBorders>
              <w:top w:val="single" w:sz="4" w:space="0" w:color="auto"/>
              <w:bottom w:val="single" w:sz="4" w:space="0" w:color="auto"/>
            </w:tcBorders>
            <w:vAlign w:val="center"/>
            <w:hideMark/>
          </w:tcPr>
          <w:p w14:paraId="75E26D76" w14:textId="77777777" w:rsidR="00146464" w:rsidRPr="00BE5063" w:rsidRDefault="00146464" w:rsidP="001A6656">
            <w:pPr>
              <w:pStyle w:val="NormalWeb"/>
              <w:jc w:val="center"/>
            </w:pPr>
            <w:r w:rsidRPr="00BE5063">
              <w:rPr>
                <w:b/>
                <w:bCs/>
                <w:color w:val="000000"/>
              </w:rPr>
              <w:t>Mean</w:t>
            </w:r>
          </w:p>
        </w:tc>
        <w:tc>
          <w:tcPr>
            <w:tcW w:w="1195" w:type="dxa"/>
            <w:tcBorders>
              <w:top w:val="single" w:sz="4" w:space="0" w:color="auto"/>
              <w:bottom w:val="single" w:sz="4" w:space="0" w:color="auto"/>
            </w:tcBorders>
            <w:vAlign w:val="center"/>
            <w:hideMark/>
          </w:tcPr>
          <w:p w14:paraId="0A8E2D8C" w14:textId="77777777" w:rsidR="00146464" w:rsidRPr="00BE5063" w:rsidRDefault="00146464" w:rsidP="001A6656">
            <w:pPr>
              <w:pStyle w:val="NormalWeb"/>
              <w:jc w:val="center"/>
            </w:pPr>
            <w:r w:rsidRPr="00BE5063">
              <w:rPr>
                <w:b/>
                <w:bCs/>
                <w:color w:val="000000"/>
              </w:rPr>
              <w:t>SD</w:t>
            </w:r>
          </w:p>
        </w:tc>
        <w:tc>
          <w:tcPr>
            <w:tcW w:w="1356" w:type="dxa"/>
            <w:tcBorders>
              <w:top w:val="single" w:sz="4" w:space="0" w:color="auto"/>
              <w:bottom w:val="single" w:sz="4" w:space="0" w:color="auto"/>
            </w:tcBorders>
            <w:vAlign w:val="center"/>
            <w:hideMark/>
          </w:tcPr>
          <w:p w14:paraId="0B761A12" w14:textId="77777777" w:rsidR="00146464" w:rsidRPr="00BE5063" w:rsidRDefault="00146464" w:rsidP="001A6656">
            <w:pPr>
              <w:pStyle w:val="NormalWeb"/>
              <w:jc w:val="center"/>
            </w:pPr>
            <w:r w:rsidRPr="00BE5063">
              <w:rPr>
                <w:b/>
                <w:bCs/>
                <w:color w:val="000000"/>
              </w:rPr>
              <w:t>Skewness</w:t>
            </w:r>
          </w:p>
        </w:tc>
        <w:tc>
          <w:tcPr>
            <w:tcW w:w="1245" w:type="dxa"/>
            <w:tcBorders>
              <w:top w:val="single" w:sz="4" w:space="0" w:color="auto"/>
              <w:bottom w:val="single" w:sz="4" w:space="0" w:color="auto"/>
            </w:tcBorders>
            <w:vAlign w:val="center"/>
            <w:hideMark/>
          </w:tcPr>
          <w:p w14:paraId="4CD2DF95" w14:textId="77777777" w:rsidR="00146464" w:rsidRPr="00BE5063" w:rsidRDefault="00146464" w:rsidP="001A6656">
            <w:pPr>
              <w:pStyle w:val="NormalWeb"/>
              <w:jc w:val="center"/>
            </w:pPr>
            <w:r w:rsidRPr="00BE5063">
              <w:rPr>
                <w:b/>
                <w:bCs/>
                <w:color w:val="000000"/>
              </w:rPr>
              <w:t>Kurtosis</w:t>
            </w:r>
          </w:p>
        </w:tc>
        <w:tc>
          <w:tcPr>
            <w:tcW w:w="1421" w:type="dxa"/>
            <w:tcBorders>
              <w:top w:val="single" w:sz="4" w:space="0" w:color="auto"/>
              <w:bottom w:val="single" w:sz="4" w:space="0" w:color="auto"/>
            </w:tcBorders>
            <w:vAlign w:val="center"/>
            <w:hideMark/>
          </w:tcPr>
          <w:p w14:paraId="50D83610" w14:textId="77777777" w:rsidR="00146464" w:rsidRPr="00BE5063" w:rsidRDefault="00146464" w:rsidP="001A6656">
            <w:pPr>
              <w:pStyle w:val="NormalWeb"/>
              <w:jc w:val="center"/>
            </w:pPr>
            <w:r w:rsidRPr="00BE5063">
              <w:rPr>
                <w:b/>
                <w:bCs/>
                <w:color w:val="000000"/>
              </w:rPr>
              <w:t>Minimum</w:t>
            </w:r>
          </w:p>
        </w:tc>
        <w:tc>
          <w:tcPr>
            <w:tcW w:w="1468" w:type="dxa"/>
            <w:tcBorders>
              <w:top w:val="single" w:sz="4" w:space="0" w:color="auto"/>
              <w:bottom w:val="single" w:sz="4" w:space="0" w:color="auto"/>
            </w:tcBorders>
            <w:vAlign w:val="center"/>
            <w:hideMark/>
          </w:tcPr>
          <w:p w14:paraId="119EE2F9" w14:textId="77777777" w:rsidR="00146464" w:rsidRPr="00BE5063" w:rsidRDefault="00146464" w:rsidP="001A6656">
            <w:pPr>
              <w:pStyle w:val="NormalWeb"/>
              <w:jc w:val="center"/>
            </w:pPr>
            <w:r w:rsidRPr="00BE5063">
              <w:rPr>
                <w:b/>
                <w:bCs/>
                <w:color w:val="000000"/>
              </w:rPr>
              <w:t>Maximum</w:t>
            </w:r>
          </w:p>
        </w:tc>
      </w:tr>
      <w:tr w:rsidR="00146464" w14:paraId="72412710" w14:textId="77777777" w:rsidTr="00146464">
        <w:trPr>
          <w:trHeight w:val="418"/>
        </w:trPr>
        <w:tc>
          <w:tcPr>
            <w:tcW w:w="1500" w:type="dxa"/>
            <w:tcBorders>
              <w:top w:val="single" w:sz="4" w:space="0" w:color="auto"/>
            </w:tcBorders>
            <w:vAlign w:val="center"/>
            <w:hideMark/>
          </w:tcPr>
          <w:p w14:paraId="2D553E3C" w14:textId="77777777" w:rsidR="00146464" w:rsidRPr="00BE5063" w:rsidRDefault="00146464" w:rsidP="001A6656">
            <w:pPr>
              <w:pStyle w:val="NormalWeb"/>
              <w:jc w:val="center"/>
            </w:pPr>
            <w:r w:rsidRPr="00BE5063">
              <w:rPr>
                <w:i/>
                <w:iCs/>
                <w:color w:val="000000"/>
              </w:rPr>
              <w:t>price_1min</w:t>
            </w:r>
          </w:p>
        </w:tc>
        <w:tc>
          <w:tcPr>
            <w:tcW w:w="1172" w:type="dxa"/>
            <w:tcBorders>
              <w:top w:val="single" w:sz="4" w:space="0" w:color="auto"/>
            </w:tcBorders>
            <w:vAlign w:val="center"/>
            <w:hideMark/>
          </w:tcPr>
          <w:p w14:paraId="3A414642" w14:textId="77777777" w:rsidR="00146464" w:rsidRPr="00BE5063" w:rsidRDefault="00146464" w:rsidP="001A6656">
            <w:pPr>
              <w:pStyle w:val="NormalWeb"/>
              <w:jc w:val="center"/>
            </w:pPr>
            <w:r w:rsidRPr="00BE5063">
              <w:rPr>
                <w:color w:val="000000"/>
              </w:rPr>
              <w:t>2.757</w:t>
            </w:r>
          </w:p>
        </w:tc>
        <w:tc>
          <w:tcPr>
            <w:tcW w:w="1195" w:type="dxa"/>
            <w:tcBorders>
              <w:top w:val="single" w:sz="4" w:space="0" w:color="auto"/>
            </w:tcBorders>
            <w:vAlign w:val="center"/>
            <w:hideMark/>
          </w:tcPr>
          <w:p w14:paraId="7531303C" w14:textId="77777777" w:rsidR="00146464" w:rsidRPr="00BE5063" w:rsidRDefault="00146464" w:rsidP="001A6656">
            <w:pPr>
              <w:pStyle w:val="NormalWeb"/>
              <w:jc w:val="center"/>
            </w:pPr>
            <w:r w:rsidRPr="00BE5063">
              <w:rPr>
                <w:color w:val="000000"/>
              </w:rPr>
              <w:t>0.222</w:t>
            </w:r>
          </w:p>
        </w:tc>
        <w:tc>
          <w:tcPr>
            <w:tcW w:w="1356" w:type="dxa"/>
            <w:tcBorders>
              <w:top w:val="single" w:sz="4" w:space="0" w:color="auto"/>
            </w:tcBorders>
            <w:vAlign w:val="center"/>
            <w:hideMark/>
          </w:tcPr>
          <w:p w14:paraId="7B145AF7" w14:textId="77777777" w:rsidR="00146464" w:rsidRPr="00BE5063" w:rsidRDefault="00146464" w:rsidP="001A6656">
            <w:pPr>
              <w:pStyle w:val="NormalWeb"/>
              <w:jc w:val="center"/>
            </w:pPr>
            <w:r w:rsidRPr="00BE5063">
              <w:rPr>
                <w:color w:val="000000"/>
              </w:rPr>
              <w:t>-0.242</w:t>
            </w:r>
          </w:p>
        </w:tc>
        <w:tc>
          <w:tcPr>
            <w:tcW w:w="1245" w:type="dxa"/>
            <w:tcBorders>
              <w:top w:val="single" w:sz="4" w:space="0" w:color="auto"/>
            </w:tcBorders>
            <w:vAlign w:val="center"/>
            <w:hideMark/>
          </w:tcPr>
          <w:p w14:paraId="56F2A898" w14:textId="77777777" w:rsidR="00146464" w:rsidRPr="00BE5063" w:rsidRDefault="00146464" w:rsidP="001A6656">
            <w:pPr>
              <w:pStyle w:val="NormalWeb"/>
              <w:jc w:val="center"/>
            </w:pPr>
            <w:r w:rsidRPr="00BE5063">
              <w:rPr>
                <w:color w:val="000000"/>
              </w:rPr>
              <w:t>-1.082</w:t>
            </w:r>
          </w:p>
        </w:tc>
        <w:tc>
          <w:tcPr>
            <w:tcW w:w="1421" w:type="dxa"/>
            <w:tcBorders>
              <w:top w:val="single" w:sz="4" w:space="0" w:color="auto"/>
            </w:tcBorders>
            <w:vAlign w:val="center"/>
            <w:hideMark/>
          </w:tcPr>
          <w:p w14:paraId="363ABA98" w14:textId="77777777" w:rsidR="00146464" w:rsidRPr="00BE5063" w:rsidRDefault="00146464" w:rsidP="001A6656">
            <w:pPr>
              <w:pStyle w:val="NormalWeb"/>
              <w:jc w:val="center"/>
            </w:pPr>
            <w:r w:rsidRPr="00BE5063">
              <w:rPr>
                <w:color w:val="000000"/>
              </w:rPr>
              <w:t>2.246</w:t>
            </w:r>
          </w:p>
        </w:tc>
        <w:tc>
          <w:tcPr>
            <w:tcW w:w="1468" w:type="dxa"/>
            <w:tcBorders>
              <w:top w:val="single" w:sz="4" w:space="0" w:color="auto"/>
            </w:tcBorders>
            <w:vAlign w:val="center"/>
            <w:hideMark/>
          </w:tcPr>
          <w:p w14:paraId="061517DD" w14:textId="77777777" w:rsidR="00146464" w:rsidRPr="00BE5063" w:rsidRDefault="00146464" w:rsidP="001A6656">
            <w:pPr>
              <w:pStyle w:val="NormalWeb"/>
              <w:jc w:val="center"/>
            </w:pPr>
            <w:r w:rsidRPr="00BE5063">
              <w:rPr>
                <w:color w:val="000000"/>
              </w:rPr>
              <w:t>3.195</w:t>
            </w:r>
          </w:p>
        </w:tc>
      </w:tr>
      <w:tr w:rsidR="00146464" w14:paraId="2E2F9AAF" w14:textId="77777777" w:rsidTr="00146464">
        <w:trPr>
          <w:trHeight w:val="389"/>
        </w:trPr>
        <w:tc>
          <w:tcPr>
            <w:tcW w:w="1500" w:type="dxa"/>
            <w:vAlign w:val="center"/>
            <w:hideMark/>
          </w:tcPr>
          <w:p w14:paraId="48849057" w14:textId="77777777" w:rsidR="00146464" w:rsidRPr="00BE5063" w:rsidRDefault="00146464" w:rsidP="001A6656">
            <w:pPr>
              <w:pStyle w:val="NormalWeb"/>
              <w:jc w:val="center"/>
            </w:pPr>
            <w:r w:rsidRPr="00BE5063">
              <w:rPr>
                <w:i/>
                <w:iCs/>
                <w:color w:val="000000"/>
              </w:rPr>
              <w:t>price_daily</w:t>
            </w:r>
          </w:p>
        </w:tc>
        <w:tc>
          <w:tcPr>
            <w:tcW w:w="1172" w:type="dxa"/>
            <w:vAlign w:val="center"/>
            <w:hideMark/>
          </w:tcPr>
          <w:p w14:paraId="20A23971" w14:textId="77777777" w:rsidR="00146464" w:rsidRPr="00BE5063" w:rsidRDefault="00146464" w:rsidP="001A6656">
            <w:pPr>
              <w:pStyle w:val="NormalWeb"/>
              <w:jc w:val="center"/>
            </w:pPr>
            <w:r w:rsidRPr="00BE5063">
              <w:rPr>
                <w:color w:val="000000"/>
              </w:rPr>
              <w:t>2.757</w:t>
            </w:r>
          </w:p>
        </w:tc>
        <w:tc>
          <w:tcPr>
            <w:tcW w:w="1195" w:type="dxa"/>
            <w:vAlign w:val="center"/>
            <w:hideMark/>
          </w:tcPr>
          <w:p w14:paraId="0A8263BE" w14:textId="77777777" w:rsidR="00146464" w:rsidRPr="00BE5063" w:rsidRDefault="00146464" w:rsidP="001A6656">
            <w:pPr>
              <w:pStyle w:val="NormalWeb"/>
              <w:jc w:val="center"/>
            </w:pPr>
            <w:r w:rsidRPr="00BE5063">
              <w:rPr>
                <w:color w:val="000000"/>
              </w:rPr>
              <w:t>0.222</w:t>
            </w:r>
          </w:p>
        </w:tc>
        <w:tc>
          <w:tcPr>
            <w:tcW w:w="1356" w:type="dxa"/>
            <w:vAlign w:val="center"/>
            <w:hideMark/>
          </w:tcPr>
          <w:p w14:paraId="473932A2" w14:textId="77777777" w:rsidR="00146464" w:rsidRPr="00BE5063" w:rsidRDefault="00146464" w:rsidP="001A6656">
            <w:pPr>
              <w:pStyle w:val="NormalWeb"/>
              <w:jc w:val="center"/>
            </w:pPr>
            <w:r w:rsidRPr="00BE5063">
              <w:rPr>
                <w:color w:val="000000"/>
              </w:rPr>
              <w:t>-0.246</w:t>
            </w:r>
          </w:p>
        </w:tc>
        <w:tc>
          <w:tcPr>
            <w:tcW w:w="1245" w:type="dxa"/>
            <w:vAlign w:val="center"/>
            <w:hideMark/>
          </w:tcPr>
          <w:p w14:paraId="78585D0B" w14:textId="77777777" w:rsidR="00146464" w:rsidRPr="00BE5063" w:rsidRDefault="00146464" w:rsidP="001A6656">
            <w:pPr>
              <w:pStyle w:val="NormalWeb"/>
              <w:jc w:val="center"/>
            </w:pPr>
            <w:r w:rsidRPr="00BE5063">
              <w:rPr>
                <w:color w:val="000000"/>
              </w:rPr>
              <w:t>-1.085</w:t>
            </w:r>
          </w:p>
        </w:tc>
        <w:tc>
          <w:tcPr>
            <w:tcW w:w="1421" w:type="dxa"/>
            <w:vAlign w:val="center"/>
            <w:hideMark/>
          </w:tcPr>
          <w:p w14:paraId="70F67A49" w14:textId="77777777" w:rsidR="00146464" w:rsidRPr="00BE5063" w:rsidRDefault="00146464" w:rsidP="001A6656">
            <w:pPr>
              <w:pStyle w:val="NormalWeb"/>
              <w:jc w:val="center"/>
            </w:pPr>
            <w:r w:rsidRPr="00BE5063">
              <w:rPr>
                <w:color w:val="000000"/>
              </w:rPr>
              <w:t>2.255</w:t>
            </w:r>
          </w:p>
        </w:tc>
        <w:tc>
          <w:tcPr>
            <w:tcW w:w="1468" w:type="dxa"/>
            <w:vAlign w:val="center"/>
            <w:hideMark/>
          </w:tcPr>
          <w:p w14:paraId="3ABE3622" w14:textId="77777777" w:rsidR="00146464" w:rsidRPr="00BE5063" w:rsidRDefault="00146464" w:rsidP="001A6656">
            <w:pPr>
              <w:pStyle w:val="NormalWeb"/>
              <w:jc w:val="center"/>
            </w:pPr>
            <w:r w:rsidRPr="00BE5063">
              <w:rPr>
                <w:color w:val="000000"/>
              </w:rPr>
              <w:t>3.18</w:t>
            </w:r>
          </w:p>
        </w:tc>
      </w:tr>
      <w:tr w:rsidR="00146464" w14:paraId="46DAB9D8" w14:textId="77777777" w:rsidTr="00146464">
        <w:trPr>
          <w:trHeight w:val="418"/>
        </w:trPr>
        <w:tc>
          <w:tcPr>
            <w:tcW w:w="1500" w:type="dxa"/>
            <w:vAlign w:val="center"/>
            <w:hideMark/>
          </w:tcPr>
          <w:p w14:paraId="734DE75D" w14:textId="77777777" w:rsidR="00146464" w:rsidRPr="00BE5063" w:rsidRDefault="00146464" w:rsidP="001A6656">
            <w:pPr>
              <w:pStyle w:val="NormalWeb"/>
              <w:jc w:val="center"/>
            </w:pPr>
            <w:r w:rsidRPr="00BE5063">
              <w:rPr>
                <w:i/>
                <w:iCs/>
                <w:color w:val="000000"/>
              </w:rPr>
              <w:t>IV_daily</w:t>
            </w:r>
          </w:p>
        </w:tc>
        <w:tc>
          <w:tcPr>
            <w:tcW w:w="1172" w:type="dxa"/>
            <w:vAlign w:val="center"/>
            <w:hideMark/>
          </w:tcPr>
          <w:p w14:paraId="0EB1D90B" w14:textId="77777777" w:rsidR="00146464" w:rsidRPr="00BE5063" w:rsidRDefault="00146464" w:rsidP="001A6656">
            <w:pPr>
              <w:pStyle w:val="NormalWeb"/>
              <w:jc w:val="center"/>
            </w:pPr>
            <w:r w:rsidRPr="00BE5063">
              <w:rPr>
                <w:color w:val="000000"/>
              </w:rPr>
              <w:t>21.826</w:t>
            </w:r>
          </w:p>
        </w:tc>
        <w:tc>
          <w:tcPr>
            <w:tcW w:w="1195" w:type="dxa"/>
            <w:vAlign w:val="center"/>
            <w:hideMark/>
          </w:tcPr>
          <w:p w14:paraId="57E03105" w14:textId="77777777" w:rsidR="00146464" w:rsidRPr="00BE5063" w:rsidRDefault="00146464" w:rsidP="001A6656">
            <w:pPr>
              <w:pStyle w:val="NormalWeb"/>
              <w:jc w:val="center"/>
            </w:pPr>
            <w:r w:rsidRPr="00BE5063">
              <w:rPr>
                <w:color w:val="000000"/>
              </w:rPr>
              <w:t>5.210</w:t>
            </w:r>
          </w:p>
        </w:tc>
        <w:tc>
          <w:tcPr>
            <w:tcW w:w="1356" w:type="dxa"/>
            <w:vAlign w:val="center"/>
            <w:hideMark/>
          </w:tcPr>
          <w:p w14:paraId="4EC5653B" w14:textId="77777777" w:rsidR="00146464" w:rsidRPr="00BE5063" w:rsidRDefault="00146464" w:rsidP="001A6656">
            <w:pPr>
              <w:pStyle w:val="NormalWeb"/>
              <w:jc w:val="center"/>
            </w:pPr>
            <w:r w:rsidRPr="00BE5063">
              <w:rPr>
                <w:color w:val="000000"/>
              </w:rPr>
              <w:t>0.167</w:t>
            </w:r>
          </w:p>
        </w:tc>
        <w:tc>
          <w:tcPr>
            <w:tcW w:w="1245" w:type="dxa"/>
            <w:vAlign w:val="center"/>
            <w:hideMark/>
          </w:tcPr>
          <w:p w14:paraId="05C96F2A" w14:textId="77777777" w:rsidR="00146464" w:rsidRPr="00BE5063" w:rsidRDefault="00146464" w:rsidP="001A6656">
            <w:pPr>
              <w:pStyle w:val="NormalWeb"/>
              <w:jc w:val="center"/>
            </w:pPr>
            <w:r w:rsidRPr="00BE5063">
              <w:rPr>
                <w:color w:val="000000"/>
              </w:rPr>
              <w:t>-0.387</w:t>
            </w:r>
          </w:p>
        </w:tc>
        <w:tc>
          <w:tcPr>
            <w:tcW w:w="1421" w:type="dxa"/>
            <w:vAlign w:val="center"/>
            <w:hideMark/>
          </w:tcPr>
          <w:p w14:paraId="1BBA52DC" w14:textId="77777777" w:rsidR="00146464" w:rsidRPr="00BE5063" w:rsidRDefault="00146464" w:rsidP="001A6656">
            <w:pPr>
              <w:pStyle w:val="NormalWeb"/>
              <w:jc w:val="center"/>
            </w:pPr>
            <w:r w:rsidRPr="00BE5063">
              <w:rPr>
                <w:color w:val="000000"/>
              </w:rPr>
              <w:t>11.913</w:t>
            </w:r>
          </w:p>
        </w:tc>
        <w:tc>
          <w:tcPr>
            <w:tcW w:w="1468" w:type="dxa"/>
            <w:vAlign w:val="center"/>
            <w:hideMark/>
          </w:tcPr>
          <w:p w14:paraId="56098907" w14:textId="77777777" w:rsidR="00146464" w:rsidRPr="00BE5063" w:rsidRDefault="00146464" w:rsidP="001A6656">
            <w:pPr>
              <w:pStyle w:val="NormalWeb"/>
              <w:jc w:val="center"/>
            </w:pPr>
            <w:r w:rsidRPr="00BE5063">
              <w:rPr>
                <w:color w:val="000000"/>
              </w:rPr>
              <w:t>37.635</w:t>
            </w:r>
          </w:p>
        </w:tc>
      </w:tr>
      <w:tr w:rsidR="00146464" w14:paraId="4F4C3BC7" w14:textId="77777777" w:rsidTr="00146464">
        <w:trPr>
          <w:trHeight w:val="389"/>
        </w:trPr>
        <w:tc>
          <w:tcPr>
            <w:tcW w:w="1500" w:type="dxa"/>
            <w:vAlign w:val="center"/>
            <w:hideMark/>
          </w:tcPr>
          <w:p w14:paraId="50186750" w14:textId="77777777" w:rsidR="00146464" w:rsidRPr="00BE5063" w:rsidRDefault="00146464" w:rsidP="001A6656">
            <w:pPr>
              <w:pStyle w:val="NormalWeb"/>
              <w:jc w:val="center"/>
            </w:pPr>
            <w:r w:rsidRPr="00BE5063">
              <w:rPr>
                <w:i/>
                <w:iCs/>
                <w:color w:val="000000"/>
              </w:rPr>
              <w:t>RV_daily</w:t>
            </w:r>
          </w:p>
        </w:tc>
        <w:tc>
          <w:tcPr>
            <w:tcW w:w="1172" w:type="dxa"/>
            <w:vAlign w:val="center"/>
            <w:hideMark/>
          </w:tcPr>
          <w:p w14:paraId="53404BB7" w14:textId="77777777" w:rsidR="00146464" w:rsidRPr="00BE5063" w:rsidRDefault="00146464" w:rsidP="001A6656">
            <w:pPr>
              <w:pStyle w:val="NormalWeb"/>
              <w:jc w:val="center"/>
            </w:pPr>
            <w:r w:rsidRPr="00BE5063">
              <w:rPr>
                <w:color w:val="000000"/>
              </w:rPr>
              <w:t>16.350</w:t>
            </w:r>
          </w:p>
        </w:tc>
        <w:tc>
          <w:tcPr>
            <w:tcW w:w="1195" w:type="dxa"/>
            <w:vAlign w:val="center"/>
            <w:hideMark/>
          </w:tcPr>
          <w:p w14:paraId="64A59BA5" w14:textId="77777777" w:rsidR="00146464" w:rsidRPr="00BE5063" w:rsidRDefault="00146464" w:rsidP="001A6656">
            <w:pPr>
              <w:pStyle w:val="NormalWeb"/>
              <w:jc w:val="center"/>
            </w:pPr>
            <w:r w:rsidRPr="00BE5063">
              <w:rPr>
                <w:color w:val="000000"/>
              </w:rPr>
              <w:t>5.540</w:t>
            </w:r>
          </w:p>
        </w:tc>
        <w:tc>
          <w:tcPr>
            <w:tcW w:w="1356" w:type="dxa"/>
            <w:vAlign w:val="center"/>
            <w:hideMark/>
          </w:tcPr>
          <w:p w14:paraId="405105EC" w14:textId="77777777" w:rsidR="00146464" w:rsidRPr="00BE5063" w:rsidRDefault="00146464" w:rsidP="001A6656">
            <w:pPr>
              <w:pStyle w:val="NormalWeb"/>
              <w:jc w:val="center"/>
            </w:pPr>
            <w:r w:rsidRPr="00BE5063">
              <w:rPr>
                <w:color w:val="000000"/>
              </w:rPr>
              <w:t>1.216</w:t>
            </w:r>
          </w:p>
        </w:tc>
        <w:tc>
          <w:tcPr>
            <w:tcW w:w="1245" w:type="dxa"/>
            <w:vAlign w:val="center"/>
            <w:hideMark/>
          </w:tcPr>
          <w:p w14:paraId="7F5D07AC" w14:textId="77777777" w:rsidR="00146464" w:rsidRPr="00BE5063" w:rsidRDefault="00146464" w:rsidP="001A6656">
            <w:pPr>
              <w:pStyle w:val="NormalWeb"/>
              <w:jc w:val="center"/>
            </w:pPr>
            <w:r w:rsidRPr="00BE5063">
              <w:rPr>
                <w:color w:val="000000"/>
              </w:rPr>
              <w:t>2.459</w:t>
            </w:r>
          </w:p>
        </w:tc>
        <w:tc>
          <w:tcPr>
            <w:tcW w:w="1421" w:type="dxa"/>
            <w:vAlign w:val="center"/>
            <w:hideMark/>
          </w:tcPr>
          <w:p w14:paraId="2EFC42A1" w14:textId="77777777" w:rsidR="00146464" w:rsidRPr="00BE5063" w:rsidRDefault="00146464" w:rsidP="001A6656">
            <w:pPr>
              <w:pStyle w:val="NormalWeb"/>
              <w:jc w:val="center"/>
            </w:pPr>
            <w:r w:rsidRPr="00BE5063">
              <w:rPr>
                <w:color w:val="000000"/>
              </w:rPr>
              <w:t>7.160</w:t>
            </w:r>
          </w:p>
        </w:tc>
        <w:tc>
          <w:tcPr>
            <w:tcW w:w="1468" w:type="dxa"/>
            <w:vAlign w:val="center"/>
            <w:hideMark/>
          </w:tcPr>
          <w:p w14:paraId="1E94D8C2" w14:textId="77777777" w:rsidR="00146464" w:rsidRPr="00BE5063" w:rsidRDefault="00146464" w:rsidP="001A6656">
            <w:pPr>
              <w:pStyle w:val="NormalWeb"/>
              <w:jc w:val="center"/>
            </w:pPr>
            <w:r w:rsidRPr="00BE5063">
              <w:rPr>
                <w:color w:val="000000"/>
              </w:rPr>
              <w:t>44.435</w:t>
            </w:r>
          </w:p>
        </w:tc>
      </w:tr>
      <w:tr w:rsidR="00146464" w14:paraId="749192BD" w14:textId="77777777" w:rsidTr="00146464">
        <w:trPr>
          <w:trHeight w:val="389"/>
        </w:trPr>
        <w:tc>
          <w:tcPr>
            <w:tcW w:w="1500" w:type="dxa"/>
            <w:tcBorders>
              <w:bottom w:val="single" w:sz="4" w:space="0" w:color="auto"/>
            </w:tcBorders>
            <w:vAlign w:val="center"/>
          </w:tcPr>
          <w:p w14:paraId="3A9E2F10" w14:textId="77777777" w:rsidR="00146464" w:rsidRPr="00BE5063" w:rsidRDefault="00146464" w:rsidP="001A6656">
            <w:pPr>
              <w:pStyle w:val="NormalWeb"/>
              <w:jc w:val="center"/>
              <w:rPr>
                <w:i/>
                <w:iCs/>
                <w:color w:val="000000"/>
              </w:rPr>
            </w:pPr>
            <w:r w:rsidRPr="00BE5063">
              <w:rPr>
                <w:i/>
                <w:iCs/>
                <w:color w:val="000000"/>
              </w:rPr>
              <w:t>σ</w:t>
            </w:r>
            <w:r w:rsidRPr="00BE5063">
              <w:rPr>
                <w:i/>
                <w:iCs/>
                <w:color w:val="000000"/>
                <w:vertAlign w:val="subscript"/>
              </w:rPr>
              <w:t>GARCH</w:t>
            </w:r>
            <w:r w:rsidRPr="00BE5063">
              <w:rPr>
                <w:i/>
                <w:iCs/>
                <w:color w:val="000000"/>
              </w:rPr>
              <w:t>_daily</w:t>
            </w:r>
          </w:p>
        </w:tc>
        <w:tc>
          <w:tcPr>
            <w:tcW w:w="1172" w:type="dxa"/>
            <w:tcBorders>
              <w:bottom w:val="single" w:sz="4" w:space="0" w:color="auto"/>
            </w:tcBorders>
            <w:vAlign w:val="center"/>
          </w:tcPr>
          <w:p w14:paraId="6180569F" w14:textId="77777777" w:rsidR="00146464" w:rsidRPr="00BE5063" w:rsidRDefault="00146464" w:rsidP="001A6656">
            <w:pPr>
              <w:pStyle w:val="NormalWeb"/>
              <w:jc w:val="center"/>
              <w:rPr>
                <w:color w:val="000000"/>
              </w:rPr>
            </w:pPr>
            <w:r w:rsidRPr="00BE5063">
              <w:rPr>
                <w:color w:val="000000"/>
              </w:rPr>
              <w:t>21.256</w:t>
            </w:r>
          </w:p>
        </w:tc>
        <w:tc>
          <w:tcPr>
            <w:tcW w:w="1195" w:type="dxa"/>
            <w:tcBorders>
              <w:bottom w:val="single" w:sz="4" w:space="0" w:color="auto"/>
            </w:tcBorders>
            <w:vAlign w:val="center"/>
          </w:tcPr>
          <w:p w14:paraId="1387FB7D" w14:textId="77777777" w:rsidR="00146464" w:rsidRPr="00BE5063" w:rsidRDefault="00146464" w:rsidP="001A6656">
            <w:pPr>
              <w:pStyle w:val="NormalWeb"/>
              <w:jc w:val="center"/>
              <w:rPr>
                <w:color w:val="000000"/>
              </w:rPr>
            </w:pPr>
            <w:r w:rsidRPr="00BE5063">
              <w:rPr>
                <w:color w:val="000000"/>
              </w:rPr>
              <w:t>6.689</w:t>
            </w:r>
          </w:p>
        </w:tc>
        <w:tc>
          <w:tcPr>
            <w:tcW w:w="1356" w:type="dxa"/>
            <w:tcBorders>
              <w:bottom w:val="single" w:sz="4" w:space="0" w:color="auto"/>
            </w:tcBorders>
            <w:vAlign w:val="center"/>
          </w:tcPr>
          <w:p w14:paraId="62C7A933" w14:textId="77777777" w:rsidR="00146464" w:rsidRPr="00BE5063" w:rsidRDefault="00146464" w:rsidP="001A6656">
            <w:pPr>
              <w:pStyle w:val="NormalWeb"/>
              <w:jc w:val="center"/>
              <w:rPr>
                <w:color w:val="000000"/>
              </w:rPr>
            </w:pPr>
            <w:r w:rsidRPr="00BE5063">
              <w:rPr>
                <w:color w:val="000000"/>
              </w:rPr>
              <w:t>0.813</w:t>
            </w:r>
          </w:p>
        </w:tc>
        <w:tc>
          <w:tcPr>
            <w:tcW w:w="1245" w:type="dxa"/>
            <w:tcBorders>
              <w:bottom w:val="single" w:sz="4" w:space="0" w:color="auto"/>
            </w:tcBorders>
            <w:vAlign w:val="center"/>
          </w:tcPr>
          <w:p w14:paraId="20B2EB9C" w14:textId="77777777" w:rsidR="00146464" w:rsidRPr="00BE5063" w:rsidRDefault="00146464" w:rsidP="001A6656">
            <w:pPr>
              <w:pStyle w:val="NormalWeb"/>
              <w:jc w:val="center"/>
              <w:rPr>
                <w:color w:val="000000"/>
              </w:rPr>
            </w:pPr>
            <w:r w:rsidRPr="00BE5063">
              <w:rPr>
                <w:color w:val="000000"/>
              </w:rPr>
              <w:t>0.177</w:t>
            </w:r>
          </w:p>
        </w:tc>
        <w:tc>
          <w:tcPr>
            <w:tcW w:w="1421" w:type="dxa"/>
            <w:tcBorders>
              <w:bottom w:val="single" w:sz="4" w:space="0" w:color="auto"/>
            </w:tcBorders>
            <w:vAlign w:val="center"/>
          </w:tcPr>
          <w:p w14:paraId="0B059099" w14:textId="77777777" w:rsidR="00146464" w:rsidRPr="00BE5063" w:rsidRDefault="00146464" w:rsidP="001A6656">
            <w:pPr>
              <w:pStyle w:val="NormalWeb"/>
              <w:jc w:val="center"/>
              <w:rPr>
                <w:color w:val="000000"/>
              </w:rPr>
            </w:pPr>
            <w:r w:rsidRPr="00BE5063">
              <w:rPr>
                <w:color w:val="000000"/>
              </w:rPr>
              <w:t>11.394</w:t>
            </w:r>
          </w:p>
        </w:tc>
        <w:tc>
          <w:tcPr>
            <w:tcW w:w="1468" w:type="dxa"/>
            <w:tcBorders>
              <w:bottom w:val="single" w:sz="4" w:space="0" w:color="auto"/>
            </w:tcBorders>
            <w:vAlign w:val="center"/>
          </w:tcPr>
          <w:p w14:paraId="6F88F7A6" w14:textId="77777777" w:rsidR="00146464" w:rsidRPr="00BE5063" w:rsidRDefault="00146464" w:rsidP="001A6656">
            <w:pPr>
              <w:pStyle w:val="NormalWeb"/>
              <w:jc w:val="center"/>
              <w:rPr>
                <w:color w:val="000000"/>
              </w:rPr>
            </w:pPr>
            <w:r w:rsidRPr="00BE5063">
              <w:rPr>
                <w:color w:val="000000"/>
              </w:rPr>
              <w:t>45.801</w:t>
            </w:r>
          </w:p>
        </w:tc>
      </w:tr>
    </w:tbl>
    <w:p w14:paraId="05654A85" w14:textId="362BAEFF" w:rsidR="00822B94" w:rsidRPr="00E05BE6" w:rsidRDefault="00146464" w:rsidP="007E6DEB">
      <w:pPr>
        <w:pStyle w:val="NormalWeb"/>
        <w:shd w:val="clear" w:color="auto" w:fill="FFFFFF"/>
        <w:spacing w:before="40" w:line="240" w:lineRule="auto"/>
        <w:rPr>
          <w:color w:val="212121"/>
          <w:sz w:val="20"/>
          <w:szCs w:val="20"/>
        </w:rPr>
      </w:pPr>
      <w:r w:rsidRPr="00E05BE6">
        <w:rPr>
          <w:color w:val="212121"/>
          <w:sz w:val="20"/>
          <w:szCs w:val="20"/>
        </w:rPr>
        <w:t xml:space="preserve">Note: </w:t>
      </w:r>
      <w:r w:rsidRPr="00E05BE6">
        <w:rPr>
          <w:i/>
          <w:iCs/>
          <w:color w:val="212121"/>
          <w:sz w:val="20"/>
          <w:szCs w:val="20"/>
        </w:rPr>
        <w:t>price_1min</w:t>
      </w:r>
      <w:r w:rsidRPr="00E05BE6">
        <w:rPr>
          <w:color w:val="212121"/>
          <w:sz w:val="20"/>
          <w:szCs w:val="20"/>
        </w:rPr>
        <w:t xml:space="preserve"> and </w:t>
      </w:r>
      <w:r w:rsidRPr="00E05BE6">
        <w:rPr>
          <w:i/>
          <w:iCs/>
          <w:color w:val="212121"/>
          <w:sz w:val="20"/>
          <w:szCs w:val="20"/>
        </w:rPr>
        <w:t>price_daily</w:t>
      </w:r>
      <w:r w:rsidRPr="00E05BE6">
        <w:rPr>
          <w:color w:val="212121"/>
          <w:sz w:val="20"/>
          <w:szCs w:val="20"/>
        </w:rPr>
        <w:t xml:space="preserve"> refer to the price of SSE 50 ETF. Table 1 reports the annualized realized volatility (</w:t>
      </w:r>
      <w:r w:rsidRPr="00E05BE6">
        <w:rPr>
          <w:i/>
          <w:iCs/>
          <w:color w:val="212121"/>
          <w:sz w:val="20"/>
          <w:szCs w:val="20"/>
        </w:rPr>
        <w:t>RV_daily</w:t>
      </w:r>
      <w:r w:rsidRPr="00E05BE6">
        <w:rPr>
          <w:color w:val="212121"/>
          <w:sz w:val="20"/>
          <w:szCs w:val="20"/>
        </w:rPr>
        <w:t>) and GARCH forecasted volatility (</w:t>
      </w:r>
      <w:r w:rsidRPr="00E05BE6">
        <w:rPr>
          <w:i/>
          <w:iCs/>
          <w:color w:val="000000"/>
          <w:sz w:val="20"/>
          <w:szCs w:val="20"/>
        </w:rPr>
        <w:t>σ</w:t>
      </w:r>
      <w:r w:rsidRPr="00E05BE6">
        <w:rPr>
          <w:i/>
          <w:iCs/>
          <w:color w:val="000000"/>
          <w:sz w:val="20"/>
          <w:szCs w:val="20"/>
          <w:vertAlign w:val="subscript"/>
        </w:rPr>
        <w:t>GARCH</w:t>
      </w:r>
      <w:r w:rsidRPr="00E05BE6">
        <w:rPr>
          <w:i/>
          <w:iCs/>
          <w:color w:val="000000"/>
          <w:sz w:val="20"/>
          <w:szCs w:val="20"/>
        </w:rPr>
        <w:t>_daily</w:t>
      </w:r>
      <w:r w:rsidRPr="00E05BE6">
        <w:rPr>
          <w:color w:val="000000"/>
          <w:sz w:val="20"/>
          <w:szCs w:val="20"/>
        </w:rPr>
        <w:t xml:space="preserve">). The sample period is from January 2, 2018 to April 3, 2020, which provides 548 daily observations and 131520 1-minite price observations. </w:t>
      </w:r>
    </w:p>
    <w:p w14:paraId="3897D055" w14:textId="77777777" w:rsidR="00A755E7" w:rsidRDefault="00A755E7">
      <w:pPr>
        <w:rPr>
          <w:rFonts w:asciiTheme="majorHAnsi" w:eastAsiaTheme="majorEastAsia" w:hAnsiTheme="majorHAnsi" w:cstheme="majorBidi"/>
          <w:b/>
          <w:bCs/>
        </w:rPr>
      </w:pPr>
      <w:r>
        <w:br w:type="page"/>
      </w:r>
    </w:p>
    <w:p w14:paraId="03F719D5" w14:textId="4C9CDB59" w:rsidR="00822B94" w:rsidRDefault="00822B94" w:rsidP="00822B94">
      <w:pPr>
        <w:pStyle w:val="Heading1"/>
      </w:pPr>
      <w:bookmarkStart w:id="11" w:name="_Toc39843399"/>
      <w:r>
        <w:lastRenderedPageBreak/>
        <w:t>Methodology</w:t>
      </w:r>
      <w:bookmarkEnd w:id="11"/>
    </w:p>
    <w:p w14:paraId="5E992EC9" w14:textId="23431B88" w:rsidR="00146464" w:rsidRPr="00410243" w:rsidRDefault="00146464" w:rsidP="00146464">
      <w:pPr>
        <w:pStyle w:val="NormalWeb"/>
        <w:shd w:val="clear" w:color="auto" w:fill="FFFFFF"/>
        <w:spacing w:after="150"/>
        <w:ind w:firstLine="720"/>
        <w:rPr>
          <w:b/>
          <w:bCs/>
          <w:color w:val="212121"/>
        </w:rPr>
      </w:pPr>
      <w:r>
        <w:rPr>
          <w:color w:val="212121"/>
        </w:rPr>
        <w:t xml:space="preserve">I study the </w:t>
      </w:r>
      <w:r w:rsidRPr="00B40B38">
        <w:rPr>
          <w:color w:val="212121"/>
        </w:rPr>
        <w:t>Pearson correlation coefficient</w:t>
      </w:r>
      <w:r>
        <w:rPr>
          <w:color w:val="212121"/>
        </w:rPr>
        <w:t xml:space="preserve"> between IV and the price of SSE 50 ETF and test the significance level of the correlation </w:t>
      </w:r>
      <w:r w:rsidR="00FB5FF6">
        <w:rPr>
          <w:color w:val="212121"/>
        </w:rPr>
        <w:t xml:space="preserve">throughout the whole sample and </w:t>
      </w:r>
      <w:r>
        <w:rPr>
          <w:color w:val="212121"/>
        </w:rPr>
        <w:t>with selected subsamples.</w:t>
      </w:r>
      <w:r w:rsidR="00FB5FF6">
        <w:rPr>
          <w:color w:val="212121"/>
        </w:rPr>
        <w:t xml:space="preserve"> </w:t>
      </w:r>
      <w:r w:rsidR="001141A3">
        <w:rPr>
          <w:color w:val="212121"/>
        </w:rPr>
        <w:t xml:space="preserve">I conduct this correlation analysis with both daily data and intraday data of 5-min and 30-min intervals. </w:t>
      </w:r>
    </w:p>
    <w:p w14:paraId="35A4C0FE" w14:textId="77777777" w:rsidR="00146464" w:rsidRPr="007561DE" w:rsidRDefault="00146464" w:rsidP="00146464">
      <w:pPr>
        <w:pStyle w:val="NormalWeb"/>
        <w:shd w:val="clear" w:color="auto" w:fill="FFFFFF"/>
        <w:spacing w:after="150"/>
        <w:ind w:firstLine="720"/>
        <w:rPr>
          <w:color w:val="212121"/>
        </w:rPr>
      </w:pPr>
      <w:r w:rsidRPr="007561DE">
        <w:rPr>
          <w:color w:val="212121"/>
        </w:rPr>
        <w:t xml:space="preserve">The forecasting power of </w:t>
      </w:r>
      <w:r>
        <w:rPr>
          <w:color w:val="212121"/>
        </w:rPr>
        <w:t>IV for future realized volatility of SSE 50 ETF is</w:t>
      </w:r>
      <w:r w:rsidRPr="007561DE">
        <w:rPr>
          <w:color w:val="212121"/>
        </w:rPr>
        <w:t xml:space="preserve"> examined with </w:t>
      </w:r>
      <w:r>
        <w:rPr>
          <w:color w:val="212121"/>
        </w:rPr>
        <w:t xml:space="preserve">the following </w:t>
      </w:r>
      <w:r w:rsidRPr="007561DE">
        <w:rPr>
          <w:color w:val="212121"/>
        </w:rPr>
        <w:t>ordinary least squares (OLS) regression model</w:t>
      </w:r>
      <w:r>
        <w:rPr>
          <w:color w:val="212121"/>
        </w:rPr>
        <w:t>s</w:t>
      </w:r>
      <w:r w:rsidRPr="007561DE">
        <w:rPr>
          <w:color w:val="212121"/>
        </w:rPr>
        <w:t xml:space="preserve">: </w:t>
      </w:r>
    </w:p>
    <w:p w14:paraId="0C8CA04D" w14:textId="65ECC2A2" w:rsidR="00146464" w:rsidRPr="00BC04F2" w:rsidRDefault="00146464" w:rsidP="00A24459">
      <w:pPr>
        <w:pStyle w:val="NormalWeb"/>
        <w:shd w:val="clear" w:color="auto" w:fill="FFFFFF"/>
        <w:spacing w:after="150"/>
        <w:ind w:left="2160"/>
        <w:jc w:val="distribute"/>
        <w:rPr>
          <w:color w:val="212121"/>
        </w:rPr>
      </w:pPr>
      <m:oMath>
        <m:r>
          <w:rPr>
            <w:rFonts w:ascii="Cambria Math" w:hAnsi="Cambria Math"/>
            <w:color w:val="212121"/>
          </w:rPr>
          <m:t>R</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m:t>
            </m:r>
          </m:sub>
        </m:sSub>
        <m:r>
          <w:rPr>
            <w:rFonts w:ascii="Cambria Math" w:hAnsi="Cambria Math"/>
            <w:color w:val="212121"/>
          </w:rPr>
          <m:t>=</m:t>
        </m:r>
        <m:r>
          <w:rPr>
            <w:rFonts w:ascii="Cambria Math" w:hAnsi="Cambria Math"/>
            <w:color w:val="212121"/>
            <w:lang w:val="el-GR"/>
          </w:rPr>
          <m:t>α</m:t>
        </m:r>
        <m:r>
          <w:rPr>
            <w:rFonts w:ascii="Cambria Math" w:hAnsi="Cambria Math"/>
            <w:color w:val="212121"/>
          </w:rPr>
          <m:t>+</m:t>
        </m:r>
        <m:sSub>
          <m:sSubPr>
            <m:ctrlPr>
              <w:rPr>
                <w:rFonts w:ascii="Cambria Math" w:hAnsi="Cambria Math"/>
                <w:i/>
                <w:iCs/>
                <w:color w:val="212121"/>
              </w:rPr>
            </m:ctrlPr>
          </m:sSubPr>
          <m:e>
            <m:r>
              <w:rPr>
                <w:rFonts w:ascii="Cambria Math" w:hAnsi="Cambria Math"/>
                <w:color w:val="212121"/>
              </w:rPr>
              <m:t>β</m:t>
            </m:r>
          </m:e>
          <m:sub>
            <m:r>
              <w:rPr>
                <w:rFonts w:ascii="Cambria Math" w:hAnsi="Cambria Math"/>
                <w:color w:val="212121"/>
              </w:rPr>
              <m:t>1</m:t>
            </m:r>
          </m:sub>
        </m:sSub>
        <m:r>
          <w:rPr>
            <w:rFonts w:ascii="Cambria Math" w:hAnsi="Cambria Math"/>
            <w:color w:val="212121"/>
          </w:rPr>
          <m:t>I</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t-1</m:t>
            </m:r>
          </m:sub>
        </m:sSub>
        <m:r>
          <w:rPr>
            <w:rFonts w:ascii="Cambria Math" w:hAnsi="Cambria Math"/>
            <w:color w:val="212121"/>
          </w:rPr>
          <m:t>+</m:t>
        </m:r>
        <m:sSub>
          <m:sSubPr>
            <m:ctrlPr>
              <w:rPr>
                <w:rFonts w:ascii="Cambria Math" w:hAnsi="Cambria Math"/>
                <w:i/>
                <w:iCs/>
                <w:color w:val="212121"/>
              </w:rPr>
            </m:ctrlPr>
          </m:sSubPr>
          <m:e>
            <m:r>
              <w:rPr>
                <w:rFonts w:ascii="Cambria Math" w:hAnsi="Cambria Math"/>
                <w:color w:val="212121"/>
              </w:rPr>
              <m:t>ε</m:t>
            </m:r>
          </m:e>
          <m:sub>
            <m:r>
              <w:rPr>
                <w:rFonts w:ascii="Cambria Math" w:hAnsi="Cambria Math"/>
                <w:color w:val="212121"/>
              </w:rPr>
              <m:t>t</m:t>
            </m:r>
          </m:sub>
        </m:sSub>
      </m:oMath>
      <w:r w:rsidR="00A109F2">
        <w:rPr>
          <w:iCs/>
          <w:color w:val="212121"/>
        </w:rPr>
        <w:t xml:space="preserve">                                       </w:t>
      </w:r>
      <w:r w:rsidR="00A24459">
        <w:rPr>
          <w:iCs/>
          <w:color w:val="212121"/>
        </w:rPr>
        <w:t xml:space="preserve">                                          </w:t>
      </w:r>
      <w:r w:rsidR="00A109F2" w:rsidRPr="00A24459">
        <w:rPr>
          <w:rFonts w:asciiTheme="minorHAnsi" w:hAnsiTheme="minorHAnsi" w:cstheme="minorHAnsi"/>
          <w:iCs/>
          <w:color w:val="212121"/>
        </w:rPr>
        <w:t>(1)</w:t>
      </w:r>
    </w:p>
    <w:p w14:paraId="09EE5D27" w14:textId="0FDD6C4A" w:rsidR="00146464" w:rsidRPr="00714B16" w:rsidRDefault="00146464" w:rsidP="00A24459">
      <w:pPr>
        <w:pStyle w:val="NormalWeb"/>
        <w:shd w:val="clear" w:color="auto" w:fill="FFFFFF"/>
        <w:spacing w:after="150"/>
        <w:ind w:left="2160"/>
        <w:jc w:val="distribute"/>
        <w:rPr>
          <w:iCs/>
          <w:color w:val="212121"/>
        </w:rPr>
      </w:pPr>
      <m:oMath>
        <m:r>
          <w:rPr>
            <w:rFonts w:ascii="Cambria Math" w:hAnsi="Cambria Math"/>
            <w:color w:val="212121"/>
          </w:rPr>
          <m:t>R</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m:t>
            </m:r>
          </m:sub>
        </m:sSub>
        <m:r>
          <w:rPr>
            <w:rFonts w:ascii="Cambria Math" w:hAnsi="Cambria Math"/>
            <w:color w:val="212121"/>
          </w:rPr>
          <m:t>=</m:t>
        </m:r>
        <m:r>
          <w:rPr>
            <w:rFonts w:ascii="Cambria Math" w:hAnsi="Cambria Math"/>
            <w:color w:val="212121"/>
            <w:lang w:val="el-GR"/>
          </w:rPr>
          <m:t>α</m:t>
        </m:r>
        <m:r>
          <w:rPr>
            <w:rFonts w:ascii="Cambria Math" w:hAnsi="Cambria Math"/>
            <w:color w:val="212121"/>
          </w:rPr>
          <m:t>+</m:t>
        </m:r>
        <m:sSub>
          <m:sSubPr>
            <m:ctrlPr>
              <w:rPr>
                <w:rFonts w:ascii="Cambria Math" w:hAnsi="Cambria Math"/>
                <w:i/>
                <w:iCs/>
                <w:color w:val="212121"/>
              </w:rPr>
            </m:ctrlPr>
          </m:sSubPr>
          <m:e>
            <m:r>
              <w:rPr>
                <w:rFonts w:ascii="Cambria Math" w:hAnsi="Cambria Math"/>
                <w:color w:val="212121"/>
              </w:rPr>
              <m:t>β</m:t>
            </m:r>
          </m:e>
          <m:sub>
            <m:r>
              <w:rPr>
                <w:rFonts w:ascii="Cambria Math" w:hAnsi="Cambria Math"/>
                <w:color w:val="212121"/>
              </w:rPr>
              <m:t>1</m:t>
            </m:r>
          </m:sub>
        </m:sSub>
        <m:r>
          <w:rPr>
            <w:rFonts w:ascii="Cambria Math" w:hAnsi="Cambria Math"/>
            <w:color w:val="212121"/>
          </w:rPr>
          <m:t>I</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t-1</m:t>
            </m:r>
          </m:sub>
        </m:sSub>
        <m:r>
          <w:rPr>
            <w:rFonts w:ascii="Cambria Math" w:hAnsi="Cambria Math"/>
            <w:color w:val="212121"/>
          </w:rPr>
          <m:t>+</m:t>
        </m:r>
        <m:sSub>
          <m:sSubPr>
            <m:ctrlPr>
              <w:rPr>
                <w:rFonts w:ascii="Cambria Math" w:hAnsi="Cambria Math"/>
                <w:i/>
                <w:iCs/>
                <w:color w:val="212121"/>
              </w:rPr>
            </m:ctrlPr>
          </m:sSubPr>
          <m:e>
            <m:r>
              <w:rPr>
                <w:rFonts w:ascii="Cambria Math" w:hAnsi="Cambria Math"/>
                <w:color w:val="212121"/>
              </w:rPr>
              <m:t>β</m:t>
            </m:r>
          </m:e>
          <m:sub>
            <m:r>
              <w:rPr>
                <w:rFonts w:ascii="Cambria Math" w:hAnsi="Cambria Math"/>
                <w:color w:val="212121"/>
              </w:rPr>
              <m:t>2</m:t>
            </m:r>
          </m:sub>
        </m:sSub>
        <m:r>
          <w:rPr>
            <w:rFonts w:ascii="Cambria Math" w:hAnsi="Cambria Math"/>
            <w:color w:val="212121"/>
          </w:rPr>
          <m:t>R</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t-1</m:t>
            </m:r>
          </m:sub>
        </m:sSub>
        <m:r>
          <w:rPr>
            <w:rFonts w:ascii="Cambria Math" w:hAnsi="Cambria Math"/>
            <w:color w:val="212121"/>
          </w:rPr>
          <m:t>+</m:t>
        </m:r>
        <m:sSub>
          <m:sSubPr>
            <m:ctrlPr>
              <w:rPr>
                <w:rFonts w:ascii="Cambria Math" w:hAnsi="Cambria Math"/>
                <w:i/>
                <w:iCs/>
                <w:color w:val="212121"/>
              </w:rPr>
            </m:ctrlPr>
          </m:sSubPr>
          <m:e>
            <m:r>
              <w:rPr>
                <w:rFonts w:ascii="Cambria Math" w:hAnsi="Cambria Math"/>
                <w:color w:val="212121"/>
              </w:rPr>
              <m:t>ε</m:t>
            </m:r>
          </m:e>
          <m:sub>
            <m:r>
              <w:rPr>
                <w:rFonts w:ascii="Cambria Math" w:hAnsi="Cambria Math"/>
                <w:color w:val="212121"/>
              </w:rPr>
              <m:t>t</m:t>
            </m:r>
          </m:sub>
        </m:sSub>
      </m:oMath>
      <w:r w:rsidR="00A109F2">
        <w:rPr>
          <w:iCs/>
          <w:color w:val="212121"/>
        </w:rPr>
        <w:t xml:space="preserve">                     </w:t>
      </w:r>
      <w:r w:rsidR="00A24459">
        <w:rPr>
          <w:iCs/>
          <w:color w:val="212121"/>
        </w:rPr>
        <w:t xml:space="preserve">                                    </w:t>
      </w:r>
      <w:r w:rsidR="00A109F2" w:rsidRPr="00A24459">
        <w:rPr>
          <w:rFonts w:asciiTheme="minorHAnsi" w:hAnsiTheme="minorHAnsi" w:cstheme="minorHAnsi"/>
          <w:iCs/>
          <w:color w:val="212121"/>
        </w:rPr>
        <w:t>(2)</w:t>
      </w:r>
    </w:p>
    <w:p w14:paraId="3A4A4AFC" w14:textId="77777777" w:rsidR="00A109F2" w:rsidRDefault="00C77845" w:rsidP="00A109F2">
      <w:pPr>
        <w:autoSpaceDE w:val="0"/>
        <w:autoSpaceDN w:val="0"/>
        <w:adjustRightInd w:val="0"/>
        <w:spacing w:after="150"/>
        <w:ind w:right="-380" w:firstLine="0"/>
        <w:rPr>
          <w:iCs/>
          <w:color w:val="212121"/>
        </w:rPr>
      </w:pPr>
      <w:r>
        <w:rPr>
          <w:iCs/>
          <w:color w:val="212121"/>
        </w:rPr>
        <w:t xml:space="preserve">where </w:t>
      </w:r>
      <m:oMath>
        <m:r>
          <w:rPr>
            <w:rFonts w:ascii="Cambria Math" w:hAnsi="Cambria Math"/>
            <w:color w:val="212121"/>
          </w:rPr>
          <m:t>I</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t-1</m:t>
            </m:r>
          </m:sub>
        </m:sSub>
        <m:r>
          <w:rPr>
            <w:rFonts w:ascii="Cambria Math" w:hAnsi="Cambria Math"/>
            <w:color w:val="212121"/>
          </w:rPr>
          <m:t xml:space="preserve"> </m:t>
        </m:r>
      </m:oMath>
      <w:r w:rsidRPr="00F100C2">
        <w:rPr>
          <w:color w:val="212121"/>
        </w:rPr>
        <w:t xml:space="preserve">takes all </w:t>
      </w:r>
      <w:r>
        <w:rPr>
          <w:color w:val="212121"/>
        </w:rPr>
        <w:t xml:space="preserve">SSE 50 ETF </w:t>
      </w:r>
      <w:r w:rsidRPr="00F100C2">
        <w:rPr>
          <w:color w:val="212121"/>
        </w:rPr>
        <w:t xml:space="preserve">option transaction data by the end of period t-1 into calculation, </w:t>
      </w:r>
      <w:r>
        <w:rPr>
          <w:color w:val="212121"/>
        </w:rPr>
        <w:t xml:space="preserve">which is almost </w:t>
      </w:r>
      <w:r w:rsidRPr="00F100C2">
        <w:rPr>
          <w:color w:val="212121"/>
        </w:rPr>
        <w:t>equivalent</w:t>
      </w:r>
      <w:r>
        <w:rPr>
          <w:color w:val="212121"/>
        </w:rPr>
        <w:t xml:space="preserve"> </w:t>
      </w:r>
      <w:r w:rsidRPr="00F100C2">
        <w:rPr>
          <w:color w:val="212121"/>
        </w:rPr>
        <w:t xml:space="preserve">to the </w:t>
      </w:r>
      <w:r>
        <w:rPr>
          <w:color w:val="212121"/>
        </w:rPr>
        <w:t>implied volatility level</w:t>
      </w:r>
      <w:r w:rsidRPr="00F100C2">
        <w:rPr>
          <w:color w:val="212121"/>
        </w:rPr>
        <w:t xml:space="preserve"> at the beginning of period t</w:t>
      </w:r>
      <w:r>
        <w:rPr>
          <w:color w:val="212121"/>
        </w:rPr>
        <w:t xml:space="preserve">. </w:t>
      </w:r>
      <w:r w:rsidRPr="00714B16">
        <w:rPr>
          <w:iCs/>
          <w:color w:val="212121"/>
        </w:rPr>
        <w:t xml:space="preserve">On top of these, lagged return </w:t>
      </w:r>
      <m:oMath>
        <m:sSub>
          <m:sSubPr>
            <m:ctrlPr>
              <w:rPr>
                <w:rFonts w:ascii="Cambria Math" w:hAnsi="Cambria Math"/>
                <w:i/>
                <w:iCs/>
                <w:color w:val="212121"/>
              </w:rPr>
            </m:ctrlPr>
          </m:sSubPr>
          <m:e>
            <m:r>
              <w:rPr>
                <w:rFonts w:ascii="Cambria Math" w:hAnsi="Cambria Math"/>
                <w:color w:val="212121"/>
              </w:rPr>
              <m:t>r</m:t>
            </m:r>
          </m:e>
          <m:sub>
            <m:r>
              <w:rPr>
                <w:rFonts w:ascii="Cambria Math" w:hAnsi="Cambria Math"/>
                <w:color w:val="212121"/>
              </w:rPr>
              <m:t>t-1</m:t>
            </m:r>
          </m:sub>
        </m:sSub>
      </m:oMath>
      <w:r w:rsidRPr="00714B16">
        <w:rPr>
          <w:iCs/>
          <w:color w:val="212121"/>
        </w:rPr>
        <w:t xml:space="preserve">and synchronous return </w:t>
      </w:r>
      <m:oMath>
        <m:sSub>
          <m:sSubPr>
            <m:ctrlPr>
              <w:rPr>
                <w:rFonts w:ascii="Cambria Math" w:hAnsi="Cambria Math"/>
                <w:i/>
                <w:iCs/>
                <w:color w:val="212121"/>
              </w:rPr>
            </m:ctrlPr>
          </m:sSubPr>
          <m:e>
            <m:r>
              <w:rPr>
                <w:rFonts w:ascii="Cambria Math" w:hAnsi="Cambria Math"/>
                <w:color w:val="212121"/>
              </w:rPr>
              <m:t>r</m:t>
            </m:r>
          </m:e>
          <m:sub>
            <m:r>
              <w:rPr>
                <w:rFonts w:ascii="Cambria Math" w:hAnsi="Cambria Math"/>
                <w:color w:val="212121"/>
              </w:rPr>
              <m:t>t</m:t>
            </m:r>
          </m:sub>
        </m:sSub>
        <m:r>
          <w:rPr>
            <w:rFonts w:ascii="Cambria Math" w:hAnsi="Cambria Math"/>
            <w:color w:val="212121"/>
          </w:rPr>
          <m:t xml:space="preserve"> </m:t>
        </m:r>
      </m:oMath>
      <w:r w:rsidRPr="00714B16">
        <w:rPr>
          <w:iCs/>
          <w:color w:val="212121"/>
        </w:rPr>
        <w:t>are added</w:t>
      </w:r>
      <w:r>
        <w:rPr>
          <w:iCs/>
          <w:color w:val="212121"/>
        </w:rPr>
        <w:t xml:space="preserve"> as a variable to </w:t>
      </w:r>
      <w:r w:rsidRPr="00714B16">
        <w:rPr>
          <w:iCs/>
          <w:color w:val="212121"/>
        </w:rPr>
        <w:t>the regression model to study the leverage effe</w:t>
      </w:r>
      <w:r>
        <w:rPr>
          <w:iCs/>
          <w:color w:val="212121"/>
        </w:rPr>
        <w:t>c</w:t>
      </w:r>
      <w:r w:rsidRPr="00714B16">
        <w:rPr>
          <w:iCs/>
          <w:color w:val="212121"/>
        </w:rPr>
        <w:t>t.</w:t>
      </w:r>
    </w:p>
    <w:p w14:paraId="5BAD2B9A" w14:textId="0AC4AD6C" w:rsidR="00146464" w:rsidRPr="00A24459" w:rsidRDefault="00A109F2" w:rsidP="00A24459">
      <w:pPr>
        <w:pStyle w:val="NormalWeb"/>
        <w:shd w:val="clear" w:color="auto" w:fill="FFFFFF"/>
        <w:spacing w:after="150"/>
        <w:ind w:left="2160"/>
        <w:jc w:val="distribute"/>
        <w:rPr>
          <w:rFonts w:ascii="Cambria Math" w:hAnsi="Cambria Math"/>
          <w:i/>
          <w:color w:val="212121"/>
        </w:rPr>
      </w:pPr>
      <m:oMath>
        <m:r>
          <w:rPr>
            <w:rFonts w:ascii="Cambria Math" w:hAnsi="Cambria Math"/>
            <w:color w:val="212121"/>
          </w:rPr>
          <m:t>R</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m:t>
            </m:r>
          </m:sub>
        </m:sSub>
        <m:r>
          <w:rPr>
            <w:rFonts w:ascii="Cambria Math" w:hAnsi="Cambria Math"/>
            <w:color w:val="212121"/>
          </w:rPr>
          <m:t>=</m:t>
        </m:r>
        <m:r>
          <w:rPr>
            <w:rFonts w:ascii="Cambria Math" w:hAnsi="Cambria Math"/>
            <w:color w:val="212121"/>
            <w:lang w:val="el-GR"/>
          </w:rPr>
          <m:t>α</m:t>
        </m:r>
        <m:r>
          <w:rPr>
            <w:rFonts w:ascii="Cambria Math" w:hAnsi="Cambria Math"/>
            <w:color w:val="212121"/>
          </w:rPr>
          <m:t>+</m:t>
        </m:r>
        <m:sSub>
          <m:sSubPr>
            <m:ctrlPr>
              <w:rPr>
                <w:rFonts w:ascii="Cambria Math" w:hAnsi="Cambria Math"/>
                <w:i/>
                <w:iCs/>
                <w:color w:val="212121"/>
              </w:rPr>
            </m:ctrlPr>
          </m:sSubPr>
          <m:e>
            <m:r>
              <w:rPr>
                <w:rFonts w:ascii="Cambria Math" w:hAnsi="Cambria Math"/>
                <w:color w:val="212121"/>
              </w:rPr>
              <m:t>β</m:t>
            </m:r>
          </m:e>
          <m:sub>
            <m:r>
              <w:rPr>
                <w:rFonts w:ascii="Cambria Math" w:hAnsi="Cambria Math"/>
                <w:color w:val="212121"/>
              </w:rPr>
              <m:t>1</m:t>
            </m:r>
          </m:sub>
        </m:sSub>
        <m:r>
          <w:rPr>
            <w:rFonts w:ascii="Cambria Math" w:hAnsi="Cambria Math"/>
            <w:color w:val="212121"/>
          </w:rPr>
          <m:t>I</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t-1</m:t>
            </m:r>
          </m:sub>
        </m:sSub>
        <m:r>
          <w:rPr>
            <w:rFonts w:ascii="Cambria Math" w:hAnsi="Cambria Math"/>
            <w:color w:val="212121"/>
          </w:rPr>
          <m:t>+</m:t>
        </m:r>
        <m:sSub>
          <m:sSubPr>
            <m:ctrlPr>
              <w:rPr>
                <w:rFonts w:ascii="Cambria Math" w:hAnsi="Cambria Math"/>
                <w:i/>
                <w:color w:val="212121"/>
              </w:rPr>
            </m:ctrlPr>
          </m:sSubPr>
          <m:e>
            <m:r>
              <w:rPr>
                <w:rFonts w:ascii="Cambria Math" w:hAnsi="Cambria Math"/>
                <w:color w:val="212121"/>
              </w:rPr>
              <m:t>β</m:t>
            </m:r>
          </m:e>
          <m:sub>
            <m:r>
              <w:rPr>
                <w:rFonts w:ascii="Cambria Math" w:hAnsi="Cambria Math"/>
                <w:color w:val="212121"/>
              </w:rPr>
              <m:t>2</m:t>
            </m:r>
          </m:sub>
        </m:sSub>
        <m:r>
          <w:rPr>
            <w:rFonts w:ascii="Cambria Math" w:hAnsi="Cambria Math"/>
            <w:color w:val="212121"/>
          </w:rPr>
          <m:t>R</m:t>
        </m:r>
        <m:sSub>
          <m:sSubPr>
            <m:ctrlPr>
              <w:rPr>
                <w:rFonts w:ascii="Cambria Math" w:hAnsi="Cambria Math"/>
                <w:i/>
                <w:color w:val="212121"/>
              </w:rPr>
            </m:ctrlPr>
          </m:sSubPr>
          <m:e>
            <m:r>
              <w:rPr>
                <w:rFonts w:ascii="Cambria Math" w:hAnsi="Cambria Math"/>
                <w:color w:val="212121"/>
              </w:rPr>
              <m:t>V</m:t>
            </m:r>
          </m:e>
          <m:sub>
            <m:r>
              <w:rPr>
                <w:rFonts w:ascii="Cambria Math" w:hAnsi="Cambria Math"/>
                <w:color w:val="212121"/>
              </w:rPr>
              <m:t>t-1</m:t>
            </m:r>
          </m:sub>
        </m:sSub>
        <m:sSub>
          <m:sSubPr>
            <m:ctrlPr>
              <w:rPr>
                <w:rFonts w:ascii="Cambria Math" w:hAnsi="Cambria Math"/>
                <w:i/>
                <w:color w:val="212121"/>
              </w:rPr>
            </m:ctrlPr>
          </m:sSubPr>
          <m:e>
            <m:r>
              <w:rPr>
                <w:rFonts w:ascii="Cambria Math" w:hAnsi="Cambria Math"/>
                <w:color w:val="212121"/>
              </w:rPr>
              <m:t xml:space="preserve"> + β</m:t>
            </m:r>
          </m:e>
          <m:sub>
            <m:r>
              <w:rPr>
                <w:rFonts w:ascii="Cambria Math" w:hAnsi="Cambria Math"/>
                <w:color w:val="212121"/>
              </w:rPr>
              <m:t>3</m:t>
            </m:r>
          </m:sub>
        </m:sSub>
        <m:sSub>
          <m:sSubPr>
            <m:ctrlPr>
              <w:rPr>
                <w:rFonts w:ascii="Cambria Math" w:hAnsi="Cambria Math"/>
                <w:i/>
                <w:color w:val="212121"/>
              </w:rPr>
            </m:ctrlPr>
          </m:sSubPr>
          <m:e>
            <m:r>
              <w:rPr>
                <w:rFonts w:ascii="Cambria Math" w:hAnsi="Cambria Math"/>
                <w:color w:val="212121"/>
              </w:rPr>
              <m:t>r</m:t>
            </m:r>
          </m:e>
          <m:sub>
            <m:r>
              <w:rPr>
                <w:rFonts w:ascii="Cambria Math" w:hAnsi="Cambria Math"/>
                <w:color w:val="212121"/>
              </w:rPr>
              <m:t>t-1</m:t>
            </m:r>
          </m:sub>
        </m:sSub>
        <m:r>
          <w:rPr>
            <w:rFonts w:ascii="Cambria Math" w:hAnsi="Cambria Math"/>
            <w:color w:val="212121"/>
          </w:rPr>
          <m:t>+</m:t>
        </m:r>
        <m:sSub>
          <m:sSubPr>
            <m:ctrlPr>
              <w:rPr>
                <w:rFonts w:ascii="Cambria Math" w:hAnsi="Cambria Math"/>
                <w:i/>
                <w:color w:val="212121"/>
              </w:rPr>
            </m:ctrlPr>
          </m:sSubPr>
          <m:e>
            <m:r>
              <w:rPr>
                <w:rFonts w:ascii="Cambria Math" w:hAnsi="Cambria Math"/>
                <w:color w:val="212121"/>
              </w:rPr>
              <m:t>ε</m:t>
            </m:r>
          </m:e>
          <m:sub>
            <m:r>
              <w:rPr>
                <w:rFonts w:ascii="Cambria Math" w:hAnsi="Cambria Math"/>
                <w:color w:val="212121"/>
              </w:rPr>
              <m:t>t</m:t>
            </m:r>
          </m:sub>
        </m:sSub>
      </m:oMath>
      <w:r w:rsidRPr="00A24459">
        <w:rPr>
          <w:rFonts w:ascii="Cambria Math" w:hAnsi="Cambria Math"/>
          <w:i/>
          <w:color w:val="212121"/>
        </w:rPr>
        <w:t xml:space="preserve">                         </w:t>
      </w:r>
      <w:r w:rsidR="00A24459" w:rsidRPr="00A24459">
        <w:rPr>
          <w:rFonts w:ascii="Cambria Math" w:hAnsi="Cambria Math"/>
          <w:i/>
          <w:color w:val="212121"/>
        </w:rPr>
        <w:t xml:space="preserve">                 </w:t>
      </w:r>
      <w:r w:rsidRPr="00A24459">
        <w:rPr>
          <w:rFonts w:asciiTheme="minorHAnsi" w:hAnsiTheme="minorHAnsi" w:cstheme="minorHAnsi"/>
          <w:iCs/>
          <w:color w:val="212121"/>
        </w:rPr>
        <w:t>(3)</w:t>
      </w:r>
    </w:p>
    <w:p w14:paraId="4CDA9D73" w14:textId="1439DCDE" w:rsidR="00A109F2" w:rsidRPr="00A24459" w:rsidRDefault="00A109F2" w:rsidP="00A24459">
      <w:pPr>
        <w:pStyle w:val="NormalWeb"/>
        <w:shd w:val="clear" w:color="auto" w:fill="FFFFFF"/>
        <w:spacing w:after="150"/>
        <w:ind w:left="2160"/>
        <w:jc w:val="distribute"/>
        <w:rPr>
          <w:rFonts w:asciiTheme="minorHAnsi" w:hAnsiTheme="minorHAnsi" w:cstheme="minorHAnsi"/>
          <w:i/>
          <w:color w:val="212121"/>
        </w:rPr>
      </w:pPr>
      <m:oMath>
        <m:r>
          <w:rPr>
            <w:rFonts w:ascii="Cambria Math" w:hAnsi="Cambria Math"/>
            <w:color w:val="212121"/>
          </w:rPr>
          <m:t>R</m:t>
        </m:r>
        <m:sSub>
          <m:sSubPr>
            <m:ctrlPr>
              <w:rPr>
                <w:rFonts w:ascii="Cambria Math" w:hAnsi="Cambria Math"/>
                <w:i/>
                <w:color w:val="212121"/>
              </w:rPr>
            </m:ctrlPr>
          </m:sSubPr>
          <m:e>
            <m:r>
              <w:rPr>
                <w:rFonts w:ascii="Cambria Math" w:hAnsi="Cambria Math"/>
                <w:color w:val="212121"/>
              </w:rPr>
              <m:t>V</m:t>
            </m:r>
          </m:e>
          <m:sub>
            <m:r>
              <w:rPr>
                <w:rFonts w:ascii="Cambria Math" w:hAnsi="Cambria Math"/>
                <w:color w:val="212121"/>
              </w:rPr>
              <m:t>t</m:t>
            </m:r>
          </m:sub>
        </m:sSub>
        <m:r>
          <w:rPr>
            <w:rFonts w:ascii="Cambria Math" w:hAnsi="Cambria Math"/>
            <w:color w:val="212121"/>
          </w:rPr>
          <m:t>=α+</m:t>
        </m:r>
        <m:sSub>
          <m:sSubPr>
            <m:ctrlPr>
              <w:rPr>
                <w:rFonts w:ascii="Cambria Math" w:hAnsi="Cambria Math"/>
                <w:i/>
                <w:color w:val="212121"/>
              </w:rPr>
            </m:ctrlPr>
          </m:sSubPr>
          <m:e>
            <m:r>
              <w:rPr>
                <w:rFonts w:ascii="Cambria Math" w:hAnsi="Cambria Math"/>
                <w:color w:val="212121"/>
              </w:rPr>
              <m:t>β</m:t>
            </m:r>
          </m:e>
          <m:sub>
            <m:r>
              <w:rPr>
                <w:rFonts w:ascii="Cambria Math" w:hAnsi="Cambria Math"/>
                <w:color w:val="212121"/>
              </w:rPr>
              <m:t>1</m:t>
            </m:r>
          </m:sub>
        </m:sSub>
        <m:r>
          <w:rPr>
            <w:rFonts w:ascii="Cambria Math" w:hAnsi="Cambria Math"/>
            <w:color w:val="212121"/>
          </w:rPr>
          <m:t>I</m:t>
        </m:r>
        <m:sSub>
          <m:sSubPr>
            <m:ctrlPr>
              <w:rPr>
                <w:rFonts w:ascii="Cambria Math" w:hAnsi="Cambria Math"/>
                <w:i/>
                <w:color w:val="212121"/>
              </w:rPr>
            </m:ctrlPr>
          </m:sSubPr>
          <m:e>
            <m:r>
              <w:rPr>
                <w:rFonts w:ascii="Cambria Math" w:hAnsi="Cambria Math"/>
                <w:color w:val="212121"/>
              </w:rPr>
              <m:t>V</m:t>
            </m:r>
          </m:e>
          <m:sub>
            <m:r>
              <w:rPr>
                <w:rFonts w:ascii="Cambria Math" w:hAnsi="Cambria Math"/>
                <w:color w:val="212121"/>
              </w:rPr>
              <m:t>t-1</m:t>
            </m:r>
          </m:sub>
        </m:sSub>
        <m:r>
          <w:rPr>
            <w:rFonts w:ascii="Cambria Math" w:hAnsi="Cambria Math"/>
            <w:color w:val="212121"/>
          </w:rPr>
          <m:t>+</m:t>
        </m:r>
        <m:sSub>
          <m:sSubPr>
            <m:ctrlPr>
              <w:rPr>
                <w:rFonts w:ascii="Cambria Math" w:hAnsi="Cambria Math"/>
                <w:i/>
                <w:color w:val="212121"/>
              </w:rPr>
            </m:ctrlPr>
          </m:sSubPr>
          <m:e>
            <m:r>
              <w:rPr>
                <w:rFonts w:ascii="Cambria Math" w:hAnsi="Cambria Math"/>
                <w:color w:val="212121"/>
              </w:rPr>
              <m:t>β</m:t>
            </m:r>
          </m:e>
          <m:sub>
            <m:r>
              <w:rPr>
                <w:rFonts w:ascii="Cambria Math" w:hAnsi="Cambria Math"/>
                <w:color w:val="212121"/>
              </w:rPr>
              <m:t>2</m:t>
            </m:r>
          </m:sub>
        </m:sSub>
        <m:r>
          <w:rPr>
            <w:rFonts w:ascii="Cambria Math" w:hAnsi="Cambria Math"/>
            <w:color w:val="212121"/>
          </w:rPr>
          <m:t>R</m:t>
        </m:r>
        <m:sSub>
          <m:sSubPr>
            <m:ctrlPr>
              <w:rPr>
                <w:rFonts w:ascii="Cambria Math" w:hAnsi="Cambria Math"/>
                <w:i/>
                <w:color w:val="212121"/>
              </w:rPr>
            </m:ctrlPr>
          </m:sSubPr>
          <m:e>
            <m:r>
              <w:rPr>
                <w:rFonts w:ascii="Cambria Math" w:hAnsi="Cambria Math"/>
                <w:color w:val="212121"/>
              </w:rPr>
              <m:t>V</m:t>
            </m:r>
          </m:e>
          <m:sub>
            <m:r>
              <w:rPr>
                <w:rFonts w:ascii="Cambria Math" w:hAnsi="Cambria Math"/>
                <w:color w:val="212121"/>
              </w:rPr>
              <m:t>t-1</m:t>
            </m:r>
          </m:sub>
        </m:sSub>
        <m:sSub>
          <m:sSubPr>
            <m:ctrlPr>
              <w:rPr>
                <w:rFonts w:ascii="Cambria Math" w:hAnsi="Cambria Math"/>
                <w:i/>
                <w:color w:val="212121"/>
              </w:rPr>
            </m:ctrlPr>
          </m:sSubPr>
          <m:e>
            <m:r>
              <w:rPr>
                <w:rFonts w:ascii="Cambria Math" w:hAnsi="Cambria Math"/>
                <w:color w:val="212121"/>
              </w:rPr>
              <m:t xml:space="preserve"> + β</m:t>
            </m:r>
          </m:e>
          <m:sub>
            <m:r>
              <w:rPr>
                <w:rFonts w:ascii="Cambria Math" w:hAnsi="Cambria Math"/>
                <w:color w:val="212121"/>
              </w:rPr>
              <m:t>3</m:t>
            </m:r>
          </m:sub>
        </m:sSub>
        <m:sSub>
          <m:sSubPr>
            <m:ctrlPr>
              <w:rPr>
                <w:rFonts w:ascii="Cambria Math" w:hAnsi="Cambria Math"/>
                <w:i/>
                <w:color w:val="212121"/>
              </w:rPr>
            </m:ctrlPr>
          </m:sSubPr>
          <m:e>
            <m:r>
              <w:rPr>
                <w:rFonts w:ascii="Cambria Math" w:hAnsi="Cambria Math"/>
                <w:color w:val="212121"/>
              </w:rPr>
              <m:t>r</m:t>
            </m:r>
          </m:e>
          <m:sub>
            <m:r>
              <w:rPr>
                <w:rFonts w:ascii="Cambria Math" w:hAnsi="Cambria Math"/>
                <w:color w:val="212121"/>
              </w:rPr>
              <m:t>t</m:t>
            </m:r>
          </m:sub>
        </m:sSub>
        <m:r>
          <w:rPr>
            <w:rFonts w:ascii="Cambria Math" w:hAnsi="Cambria Math"/>
            <w:color w:val="212121"/>
          </w:rPr>
          <m:t>+</m:t>
        </m:r>
        <m:sSub>
          <m:sSubPr>
            <m:ctrlPr>
              <w:rPr>
                <w:rFonts w:ascii="Cambria Math" w:hAnsi="Cambria Math"/>
                <w:i/>
                <w:color w:val="212121"/>
              </w:rPr>
            </m:ctrlPr>
          </m:sSubPr>
          <m:e>
            <m:r>
              <w:rPr>
                <w:rFonts w:ascii="Cambria Math" w:hAnsi="Cambria Math"/>
                <w:color w:val="212121"/>
              </w:rPr>
              <m:t>ε</m:t>
            </m:r>
          </m:e>
          <m:sub>
            <m:r>
              <w:rPr>
                <w:rFonts w:ascii="Cambria Math" w:hAnsi="Cambria Math"/>
                <w:color w:val="212121"/>
              </w:rPr>
              <m:t>t</m:t>
            </m:r>
          </m:sub>
        </m:sSub>
      </m:oMath>
      <w:r w:rsidRPr="00A24459">
        <w:rPr>
          <w:rFonts w:ascii="Cambria Math" w:hAnsi="Cambria Math"/>
          <w:i/>
          <w:color w:val="212121"/>
        </w:rPr>
        <w:t xml:space="preserve">                             </w:t>
      </w:r>
      <w:r w:rsidR="00A24459" w:rsidRPr="00A24459">
        <w:rPr>
          <w:rFonts w:ascii="Cambria Math" w:hAnsi="Cambria Math"/>
          <w:i/>
          <w:color w:val="212121"/>
        </w:rPr>
        <w:t xml:space="preserve">                    </w:t>
      </w:r>
      <w:r w:rsidRPr="00A24459">
        <w:rPr>
          <w:rFonts w:asciiTheme="minorHAnsi" w:hAnsiTheme="minorHAnsi" w:cstheme="minorHAnsi"/>
          <w:iCs/>
          <w:color w:val="212121"/>
        </w:rPr>
        <w:t>(4)</w:t>
      </w:r>
    </w:p>
    <w:p w14:paraId="51428B8D" w14:textId="77777777" w:rsidR="00A109F2" w:rsidRDefault="00C77845" w:rsidP="00A109F2">
      <w:pPr>
        <w:autoSpaceDE w:val="0"/>
        <w:autoSpaceDN w:val="0"/>
        <w:adjustRightInd w:val="0"/>
        <w:spacing w:after="150"/>
        <w:ind w:right="-380"/>
        <w:rPr>
          <w:color w:val="212121"/>
        </w:rPr>
      </w:pPr>
      <w:r>
        <w:rPr>
          <w:color w:val="212121"/>
        </w:rPr>
        <w:t>I compare the predictive power of IV and GARCH (1,1) forecasted volatility in the following OLS regression model:</w:t>
      </w:r>
    </w:p>
    <w:p w14:paraId="3539304D" w14:textId="661D9D18" w:rsidR="00C77845" w:rsidRPr="00A24459" w:rsidRDefault="00C77845" w:rsidP="00A24459">
      <w:pPr>
        <w:pStyle w:val="NormalWeb"/>
        <w:shd w:val="clear" w:color="auto" w:fill="FFFFFF"/>
        <w:spacing w:after="150"/>
        <w:ind w:left="2160"/>
        <w:jc w:val="distribute"/>
        <w:rPr>
          <w:rFonts w:ascii="Cambria Math" w:hAnsi="Cambria Math"/>
          <w:i/>
          <w:color w:val="212121"/>
        </w:rPr>
      </w:pPr>
      <w:r>
        <w:rPr>
          <w:color w:val="212121"/>
        </w:rPr>
        <w:t xml:space="preserve"> </w:t>
      </w:r>
      <m:oMath>
        <m:r>
          <w:rPr>
            <w:rFonts w:ascii="Cambria Math" w:hAnsi="Cambria Math"/>
            <w:color w:val="212121"/>
          </w:rPr>
          <m:t>R</m:t>
        </m:r>
        <m:sSub>
          <m:sSubPr>
            <m:ctrlPr>
              <w:rPr>
                <w:rFonts w:ascii="Cambria Math" w:hAnsi="Cambria Math"/>
                <w:i/>
                <w:color w:val="212121"/>
              </w:rPr>
            </m:ctrlPr>
          </m:sSubPr>
          <m:e>
            <m:r>
              <w:rPr>
                <w:rFonts w:ascii="Cambria Math" w:hAnsi="Cambria Math"/>
                <w:color w:val="212121"/>
              </w:rPr>
              <m:t>V</m:t>
            </m:r>
          </m:e>
          <m:sub>
            <m:r>
              <w:rPr>
                <w:rFonts w:ascii="Cambria Math" w:hAnsi="Cambria Math"/>
                <w:color w:val="212121"/>
              </w:rPr>
              <m:t>t</m:t>
            </m:r>
          </m:sub>
        </m:sSub>
        <m:r>
          <w:rPr>
            <w:rFonts w:ascii="Cambria Math" w:hAnsi="Cambria Math"/>
            <w:color w:val="212121"/>
          </w:rPr>
          <m:t>=α+</m:t>
        </m:r>
        <m:sSub>
          <m:sSubPr>
            <m:ctrlPr>
              <w:rPr>
                <w:rFonts w:ascii="Cambria Math" w:hAnsi="Cambria Math"/>
                <w:i/>
                <w:color w:val="212121"/>
              </w:rPr>
            </m:ctrlPr>
          </m:sSubPr>
          <m:e>
            <m:r>
              <w:rPr>
                <w:rFonts w:ascii="Cambria Math" w:hAnsi="Cambria Math"/>
                <w:color w:val="212121"/>
              </w:rPr>
              <m:t>β</m:t>
            </m:r>
          </m:e>
          <m:sub>
            <m:r>
              <w:rPr>
                <w:rFonts w:ascii="Cambria Math" w:hAnsi="Cambria Math"/>
                <w:color w:val="212121"/>
              </w:rPr>
              <m:t>1</m:t>
            </m:r>
          </m:sub>
        </m:sSub>
        <m:r>
          <w:rPr>
            <w:rFonts w:ascii="Cambria Math" w:hAnsi="Cambria Math"/>
            <w:color w:val="212121"/>
          </w:rPr>
          <m:t>I</m:t>
        </m:r>
        <m:sSub>
          <m:sSubPr>
            <m:ctrlPr>
              <w:rPr>
                <w:rFonts w:ascii="Cambria Math" w:hAnsi="Cambria Math"/>
                <w:i/>
                <w:color w:val="212121"/>
              </w:rPr>
            </m:ctrlPr>
          </m:sSubPr>
          <m:e>
            <m:r>
              <w:rPr>
                <w:rFonts w:ascii="Cambria Math" w:hAnsi="Cambria Math"/>
                <w:color w:val="212121"/>
              </w:rPr>
              <m:t>V</m:t>
            </m:r>
          </m:e>
          <m:sub>
            <m:r>
              <w:rPr>
                <w:rFonts w:ascii="Cambria Math" w:hAnsi="Cambria Math"/>
                <w:color w:val="212121"/>
              </w:rPr>
              <m:t>t-1</m:t>
            </m:r>
          </m:sub>
        </m:sSub>
        <m:r>
          <w:rPr>
            <w:rFonts w:ascii="Cambria Math" w:hAnsi="Cambria Math"/>
            <w:color w:val="212121"/>
          </w:rPr>
          <m:t>+</m:t>
        </m:r>
        <m:sSub>
          <m:sSubPr>
            <m:ctrlPr>
              <w:rPr>
                <w:rFonts w:ascii="Cambria Math" w:hAnsi="Cambria Math"/>
                <w:i/>
                <w:color w:val="212121"/>
              </w:rPr>
            </m:ctrlPr>
          </m:sSubPr>
          <m:e>
            <m:r>
              <w:rPr>
                <w:rFonts w:ascii="Cambria Math" w:hAnsi="Cambria Math"/>
                <w:color w:val="212121"/>
              </w:rPr>
              <m:t>β</m:t>
            </m:r>
          </m:e>
          <m:sub>
            <m:r>
              <w:rPr>
                <w:rFonts w:ascii="Cambria Math" w:hAnsi="Cambria Math"/>
                <w:color w:val="212121"/>
              </w:rPr>
              <m:t>2</m:t>
            </m:r>
          </m:sub>
        </m:sSub>
        <m:sSub>
          <m:sSubPr>
            <m:ctrlPr>
              <w:rPr>
                <w:rFonts w:ascii="Cambria Math" w:hAnsi="Cambria Math"/>
                <w:i/>
                <w:color w:val="212121"/>
              </w:rPr>
            </m:ctrlPr>
          </m:sSubPr>
          <m:e>
            <m:r>
              <w:rPr>
                <w:rFonts w:ascii="Cambria Math" w:hAnsi="Cambria Math"/>
                <w:color w:val="212121"/>
              </w:rPr>
              <m:t>σ</m:t>
            </m:r>
          </m:e>
          <m:sub>
            <m:r>
              <w:rPr>
                <w:rFonts w:ascii="Cambria Math" w:hAnsi="Cambria Math"/>
                <w:color w:val="212121"/>
              </w:rPr>
              <m:t>GARCH,t</m:t>
            </m:r>
          </m:sub>
        </m:sSub>
        <m:r>
          <w:rPr>
            <w:rFonts w:ascii="Cambria Math" w:hAnsi="Cambria Math"/>
            <w:color w:val="212121"/>
          </w:rPr>
          <m:t>+</m:t>
        </m:r>
        <m:sSub>
          <m:sSubPr>
            <m:ctrlPr>
              <w:rPr>
                <w:rFonts w:ascii="Cambria Math" w:hAnsi="Cambria Math"/>
                <w:i/>
                <w:color w:val="212121"/>
              </w:rPr>
            </m:ctrlPr>
          </m:sSubPr>
          <m:e>
            <m:r>
              <w:rPr>
                <w:rFonts w:ascii="Cambria Math" w:hAnsi="Cambria Math"/>
                <w:color w:val="212121"/>
              </w:rPr>
              <m:t>ε</m:t>
            </m:r>
          </m:e>
          <m:sub>
            <m:r>
              <w:rPr>
                <w:rFonts w:ascii="Cambria Math" w:hAnsi="Cambria Math"/>
                <w:color w:val="212121"/>
              </w:rPr>
              <m:t>t</m:t>
            </m:r>
          </m:sub>
        </m:sSub>
      </m:oMath>
      <w:r w:rsidR="00A109F2" w:rsidRPr="00A24459">
        <w:rPr>
          <w:rFonts w:ascii="Cambria Math" w:hAnsi="Cambria Math"/>
          <w:i/>
          <w:color w:val="212121"/>
        </w:rPr>
        <w:t xml:space="preserve">                                   </w:t>
      </w:r>
      <w:r w:rsidR="00A109F2" w:rsidRPr="00A24459">
        <w:rPr>
          <w:rFonts w:asciiTheme="minorHAnsi" w:hAnsiTheme="minorHAnsi" w:cstheme="minorHAnsi"/>
          <w:iCs/>
          <w:color w:val="212121"/>
        </w:rPr>
        <w:t>(5)</w:t>
      </w:r>
    </w:p>
    <w:p w14:paraId="1FD58D44" w14:textId="6368B8B8" w:rsidR="00146464" w:rsidRPr="00C77845" w:rsidRDefault="00C77845" w:rsidP="00C77845">
      <w:pPr>
        <w:rPr>
          <w:rFonts w:ascii="Times New Roman" w:hAnsi="Times New Roman" w:cs="Times New Roman"/>
          <w:iCs/>
          <w:color w:val="212121"/>
        </w:rPr>
      </w:pPr>
      <w:r>
        <w:rPr>
          <w:iCs/>
          <w:color w:val="212121"/>
        </w:rPr>
        <w:br w:type="page"/>
      </w:r>
    </w:p>
    <w:p w14:paraId="3D98E89B" w14:textId="75E59EA9" w:rsidR="00C76886" w:rsidRDefault="00C76886" w:rsidP="00C76886">
      <w:pPr>
        <w:pStyle w:val="Heading1"/>
      </w:pPr>
      <w:bookmarkStart w:id="12" w:name="_Toc39843400"/>
      <w:r>
        <w:lastRenderedPageBreak/>
        <w:t>Hypotheses</w:t>
      </w:r>
      <w:bookmarkEnd w:id="12"/>
    </w:p>
    <w:p w14:paraId="3B90B753" w14:textId="6451B7A9" w:rsidR="00C77845" w:rsidRPr="00C77845" w:rsidRDefault="00C77845" w:rsidP="00C77845">
      <w:pPr>
        <w:pStyle w:val="ListParagraph"/>
        <w:numPr>
          <w:ilvl w:val="0"/>
          <w:numId w:val="12"/>
        </w:numPr>
        <w:rPr>
          <w:i/>
          <w:iCs/>
        </w:rPr>
      </w:pPr>
      <w:r w:rsidRPr="00C77845">
        <w:rPr>
          <w:i/>
          <w:iCs/>
        </w:rPr>
        <w:t xml:space="preserve">Negative and positive correlations between Implied Volatility of SSE 50 ETF Option (IV) and the price of SSE 50 ETF can be observed in different subsamples. </w:t>
      </w:r>
    </w:p>
    <w:p w14:paraId="39D5BC73" w14:textId="77777777" w:rsidR="00C77845" w:rsidRDefault="00C77845" w:rsidP="00C77845">
      <w:r>
        <w:t xml:space="preserve">If the statistical analysis finds positive correlation between implied volatility and price in high frequency data, which leads to the counterintuitive interpretation that investors expect high volatility for the near future when the price of SSE 50 ETF is rising. </w:t>
      </w:r>
    </w:p>
    <w:p w14:paraId="57AB64B0" w14:textId="77777777" w:rsidR="00C77845" w:rsidRDefault="00C77845" w:rsidP="00C77845"/>
    <w:p w14:paraId="469ECD72" w14:textId="103B715B" w:rsidR="00C77845" w:rsidRPr="00C77845" w:rsidRDefault="00C77845" w:rsidP="00C77845">
      <w:pPr>
        <w:pStyle w:val="ListParagraph"/>
        <w:numPr>
          <w:ilvl w:val="0"/>
          <w:numId w:val="12"/>
        </w:numPr>
        <w:rPr>
          <w:i/>
          <w:iCs/>
        </w:rPr>
      </w:pPr>
      <w:r w:rsidRPr="00C77845">
        <w:rPr>
          <w:i/>
          <w:iCs/>
        </w:rPr>
        <w:t>IV contains predictive power for future realized volatility of SSE 50 ETF.</w:t>
      </w:r>
    </w:p>
    <w:p w14:paraId="553C6C00" w14:textId="77777777" w:rsidR="00C77845" w:rsidRDefault="00C77845" w:rsidP="00C77845">
      <w:r>
        <w:t xml:space="preserve">If this hypothesis tests true, a significant non-zero coefficient for IV should be observed in the predictive regression. </w:t>
      </w:r>
    </w:p>
    <w:p w14:paraId="0A0810D3" w14:textId="77777777" w:rsidR="00C77845" w:rsidRDefault="00C77845" w:rsidP="00C77845"/>
    <w:p w14:paraId="727A1370" w14:textId="0B515AE1" w:rsidR="00C77845" w:rsidRPr="00C77845" w:rsidRDefault="00C77845" w:rsidP="00C77845">
      <w:pPr>
        <w:pStyle w:val="ListParagraph"/>
        <w:numPr>
          <w:ilvl w:val="0"/>
          <w:numId w:val="12"/>
        </w:numPr>
        <w:rPr>
          <w:i/>
          <w:iCs/>
        </w:rPr>
      </w:pPr>
      <w:r w:rsidRPr="00C77845">
        <w:rPr>
          <w:i/>
          <w:iCs/>
        </w:rPr>
        <w:t>IV has more predictive power for future realized volatility than GARCH (1,1) forecasted volatility.</w:t>
      </w:r>
    </w:p>
    <w:p w14:paraId="5A9FC016" w14:textId="02CCAA3C" w:rsidR="00C76886" w:rsidRPr="00C76886" w:rsidRDefault="006525C1" w:rsidP="00C76886">
      <w:r w:rsidRPr="009B6B3A">
        <w:t xml:space="preserve">If this hypothesis </w:t>
      </w:r>
      <w:r>
        <w:t>tests</w:t>
      </w:r>
      <w:r w:rsidRPr="009B6B3A">
        <w:t xml:space="preserve"> true</w:t>
      </w:r>
      <w:r>
        <w:t>, the adjusted R-squared of a bivariate predictive regression using IV as the regressor variable should be larger than the one using GARCH (1,1) forecasted volatility. With GARCH (1,1) forecasted volatility adding to the previous bivariate predictive regression, the adjusted R-squared should only exhibit small changes.</w:t>
      </w:r>
    </w:p>
    <w:p w14:paraId="099EF4E1" w14:textId="77777777" w:rsidR="001F784D" w:rsidRDefault="001F784D">
      <w:pPr>
        <w:rPr>
          <w:rFonts w:asciiTheme="majorHAnsi" w:eastAsiaTheme="majorEastAsia" w:hAnsiTheme="majorHAnsi" w:cstheme="majorBidi"/>
          <w:b/>
          <w:bCs/>
        </w:rPr>
      </w:pPr>
      <w:r>
        <w:br w:type="page"/>
      </w:r>
    </w:p>
    <w:p w14:paraId="22A3007F" w14:textId="12112DEC" w:rsidR="00822B94" w:rsidRDefault="00822B94" w:rsidP="00822B94">
      <w:pPr>
        <w:pStyle w:val="Heading1"/>
      </w:pPr>
      <w:bookmarkStart w:id="13" w:name="_Toc39843401"/>
      <w:r>
        <w:lastRenderedPageBreak/>
        <w:t>Empirical Results</w:t>
      </w:r>
      <w:bookmarkEnd w:id="13"/>
    </w:p>
    <w:p w14:paraId="381B7AB2" w14:textId="17328D80" w:rsidR="00344562" w:rsidRPr="00B224B8" w:rsidRDefault="00344562" w:rsidP="00344562">
      <w:pPr>
        <w:pStyle w:val="ListParagraph"/>
        <w:numPr>
          <w:ilvl w:val="0"/>
          <w:numId w:val="14"/>
        </w:numPr>
        <w:rPr>
          <w:b/>
          <w:bCs/>
        </w:rPr>
      </w:pPr>
      <w:r w:rsidRPr="00B224B8">
        <w:rPr>
          <w:b/>
          <w:bCs/>
        </w:rPr>
        <w:t>Testing</w:t>
      </w:r>
      <w:r w:rsidR="009A2CF8" w:rsidRPr="00B224B8">
        <w:rPr>
          <w:b/>
          <w:bCs/>
        </w:rPr>
        <w:t xml:space="preserve"> the</w:t>
      </w:r>
      <w:r w:rsidRPr="00B224B8">
        <w:rPr>
          <w:b/>
          <w:bCs/>
        </w:rPr>
        <w:t xml:space="preserve"> correlation between</w:t>
      </w:r>
      <w:r w:rsidR="00C401F8" w:rsidRPr="00B224B8">
        <w:rPr>
          <w:b/>
          <w:bCs/>
        </w:rPr>
        <w:t xml:space="preserve"> </w:t>
      </w:r>
      <w:r w:rsidR="0063256B" w:rsidRPr="00B224B8">
        <w:rPr>
          <w:b/>
          <w:bCs/>
        </w:rPr>
        <w:t>implied volatility</w:t>
      </w:r>
      <w:r w:rsidRPr="00B224B8">
        <w:rPr>
          <w:b/>
          <w:bCs/>
        </w:rPr>
        <w:t xml:space="preserve"> and </w:t>
      </w:r>
      <w:r w:rsidR="009A2CF8" w:rsidRPr="00B224B8">
        <w:rPr>
          <w:b/>
          <w:bCs/>
        </w:rPr>
        <w:t xml:space="preserve">the </w:t>
      </w:r>
      <w:r w:rsidR="00C401F8" w:rsidRPr="00B224B8">
        <w:rPr>
          <w:b/>
          <w:bCs/>
        </w:rPr>
        <w:t xml:space="preserve">underlying </w:t>
      </w:r>
      <w:r w:rsidRPr="00B224B8">
        <w:rPr>
          <w:b/>
          <w:bCs/>
        </w:rPr>
        <w:t>price</w:t>
      </w:r>
    </w:p>
    <w:p w14:paraId="54F32990" w14:textId="33F76A48" w:rsidR="001F784D" w:rsidRDefault="001F784D" w:rsidP="00AD1EB0">
      <w:pPr>
        <w:jc w:val="both"/>
      </w:pPr>
      <w:r>
        <w:t>In this section, I first examine the correlation between the implied volatility and the price of SSE 50 ETF.</w:t>
      </w:r>
      <w:r w:rsidR="00AD1EB0">
        <w:t xml:space="preserve"> </w:t>
      </w:r>
      <w:r>
        <w:t xml:space="preserve">In Fig. 2, the time series of daily level of implied volatility (IV) and the price of SSE 50 ETF are plotted in two panels. Panel A shows the period since the introduction of SSE 50 ETF Option. Panel B shows the sample period </w:t>
      </w:r>
      <w:r w:rsidR="00AD1EB0">
        <w:t>this thesis studies, which ranges from January 2, 2018 to April 3, 2020.</w:t>
      </w:r>
    </w:p>
    <w:p w14:paraId="2F37953D" w14:textId="75AB5FA7" w:rsidR="001F784D" w:rsidRPr="001F784D" w:rsidRDefault="001F784D" w:rsidP="001F784D">
      <w:pPr>
        <w:spacing w:line="240" w:lineRule="auto"/>
        <w:ind w:firstLine="0"/>
        <w:jc w:val="center"/>
      </w:pPr>
      <w:r>
        <w:rPr>
          <w:noProof/>
        </w:rPr>
        <w:drawing>
          <wp:inline distT="0" distB="0" distL="0" distR="0" wp14:anchorId="6689834C" wp14:editId="26BC5034">
            <wp:extent cx="4320000" cy="2716415"/>
            <wp:effectExtent l="0" t="0" r="0" b="1905"/>
            <wp:docPr id="9" name="Picture 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nel_A1.png"/>
                    <pic:cNvPicPr/>
                  </pic:nvPicPr>
                  <pic:blipFill rotWithShape="1">
                    <a:blip r:embed="rId9" cstate="print">
                      <a:extLst>
                        <a:ext uri="{28A0092B-C50C-407E-A947-70E740481C1C}">
                          <a14:useLocalDpi xmlns:a14="http://schemas.microsoft.com/office/drawing/2010/main" val="0"/>
                        </a:ext>
                      </a:extLst>
                    </a:blip>
                    <a:srcRect l="367"/>
                    <a:stretch/>
                  </pic:blipFill>
                  <pic:spPr bwMode="auto">
                    <a:xfrm>
                      <a:off x="0" y="0"/>
                      <a:ext cx="4320000" cy="2716415"/>
                    </a:xfrm>
                    <a:prstGeom prst="rect">
                      <a:avLst/>
                    </a:prstGeom>
                    <a:ln>
                      <a:noFill/>
                    </a:ln>
                    <a:extLst>
                      <a:ext uri="{53640926-AAD7-44D8-BBD7-CCE9431645EC}">
                        <a14:shadowObscured xmlns:a14="http://schemas.microsoft.com/office/drawing/2010/main"/>
                      </a:ext>
                    </a:extLst>
                  </pic:spPr>
                </pic:pic>
              </a:graphicData>
            </a:graphic>
          </wp:inline>
        </w:drawing>
      </w:r>
    </w:p>
    <w:p w14:paraId="02651E07" w14:textId="77777777" w:rsidR="001F784D" w:rsidRDefault="001F784D" w:rsidP="001F784D">
      <w:pPr>
        <w:spacing w:line="240" w:lineRule="auto"/>
        <w:ind w:firstLine="0"/>
        <w:jc w:val="center"/>
      </w:pPr>
      <w:r>
        <w:rPr>
          <w:noProof/>
        </w:rPr>
        <w:drawing>
          <wp:inline distT="0" distB="0" distL="0" distR="0" wp14:anchorId="51A60611" wp14:editId="552E8B85">
            <wp:extent cx="4320000" cy="2689224"/>
            <wp:effectExtent l="0" t="0" r="0" b="3810"/>
            <wp:docPr id="10" name="Picture 10"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nel_B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2689224"/>
                    </a:xfrm>
                    <a:prstGeom prst="rect">
                      <a:avLst/>
                    </a:prstGeom>
                  </pic:spPr>
                </pic:pic>
              </a:graphicData>
            </a:graphic>
          </wp:inline>
        </w:drawing>
      </w:r>
    </w:p>
    <w:p w14:paraId="372F278B" w14:textId="35B50E3E" w:rsidR="001F784D" w:rsidRDefault="001F784D" w:rsidP="00AD1EB0">
      <w:pPr>
        <w:spacing w:line="240" w:lineRule="auto"/>
        <w:ind w:firstLine="0"/>
      </w:pPr>
      <w:r>
        <w:t>Fig. 2.</w:t>
      </w:r>
      <w:r>
        <w:rPr>
          <w:rFonts w:eastAsia="Roboto Condensed Light" w:hAnsi="Arial" w:cs="Roboto Condensed Light"/>
          <w:color w:val="000000" w:themeColor="dark1"/>
          <w:sz w:val="21"/>
          <w:szCs w:val="21"/>
        </w:rPr>
        <w:t xml:space="preserve"> </w:t>
      </w:r>
      <w:r w:rsidRPr="00F100C2">
        <w:rPr>
          <w:rFonts w:eastAsia="Roboto Condensed Light"/>
          <w:color w:val="000000" w:themeColor="dark1"/>
        </w:rPr>
        <w:t>Time</w:t>
      </w:r>
      <w:r w:rsidRPr="00F100C2">
        <w:t xml:space="preserve"> series</w:t>
      </w:r>
      <w:r w:rsidRPr="00A60518">
        <w:t xml:space="preserve"> of IV and the price of SSE 50 ETF, (a) from Mar 2, 2015 to Apr 3, 2020</w:t>
      </w:r>
      <w:r>
        <w:t xml:space="preserve">, </w:t>
      </w:r>
      <w:r w:rsidRPr="00A60518">
        <w:t>(b) from Jan 2, 2018 to Apr 3, 2020</w:t>
      </w:r>
      <w:r>
        <w:t>.</w:t>
      </w:r>
    </w:p>
    <w:p w14:paraId="4CB4C47A" w14:textId="2B4EF4E7" w:rsidR="008E6745" w:rsidRDefault="008E6745" w:rsidP="008E6745">
      <w:r>
        <w:lastRenderedPageBreak/>
        <w:t>In Panel B,</w:t>
      </w:r>
      <w:r w:rsidRPr="00056242">
        <w:t xml:space="preserve"> we can </w:t>
      </w:r>
      <w:r>
        <w:t>identify</w:t>
      </w:r>
      <w:r w:rsidRPr="00056242">
        <w:t xml:space="preserve"> two subsamples</w:t>
      </w:r>
      <w:r>
        <w:t xml:space="preserve"> that seem to have different patterns in the price-IV relationship</w:t>
      </w:r>
      <w:r w:rsidRPr="00056242">
        <w:t>. Sub</w:t>
      </w:r>
      <w:r>
        <w:t xml:space="preserve">sample 1, denoted as C on Fig.2., </w:t>
      </w:r>
      <w:r w:rsidRPr="00056242">
        <w:t>ranges from Feb</w:t>
      </w:r>
      <w:r>
        <w:t>ruary</w:t>
      </w:r>
      <w:r w:rsidRPr="00056242">
        <w:t xml:space="preserve"> 11, 2019 </w:t>
      </w:r>
      <w:r>
        <w:t xml:space="preserve">to </w:t>
      </w:r>
      <w:r w:rsidRPr="00056242">
        <w:t>May 31, 2019</w:t>
      </w:r>
      <w:r>
        <w:t xml:space="preserve">, where </w:t>
      </w:r>
      <w:r w:rsidRPr="00056242">
        <w:t xml:space="preserve">positive co-movement </w:t>
      </w:r>
      <w:r>
        <w:t>between</w:t>
      </w:r>
      <w:r w:rsidRPr="00056242">
        <w:t xml:space="preserve"> price and </w:t>
      </w:r>
      <w:r>
        <w:t xml:space="preserve">IV can be observed. Subsample 2, denoted as D on Fig.2., </w:t>
      </w:r>
      <w:r w:rsidRPr="00056242">
        <w:t xml:space="preserve">ranges from </w:t>
      </w:r>
      <w:r>
        <w:t>February</w:t>
      </w:r>
      <w:r w:rsidRPr="00056242">
        <w:t xml:space="preserve"> 3, 2020 </w:t>
      </w:r>
      <w:r>
        <w:t xml:space="preserve">to </w:t>
      </w:r>
      <w:r w:rsidRPr="00056242">
        <w:t>Apr</w:t>
      </w:r>
      <w:r>
        <w:t>il</w:t>
      </w:r>
      <w:r w:rsidRPr="00056242">
        <w:t xml:space="preserve"> 3, 2020, </w:t>
      </w:r>
      <w:r>
        <w:t xml:space="preserve">which is the period when </w:t>
      </w:r>
      <w:r w:rsidRPr="00056242">
        <w:t>the outbreak of Covid-19</w:t>
      </w:r>
      <w:r>
        <w:t xml:space="preserve"> turns into a global pandemic</w:t>
      </w:r>
      <w:r w:rsidRPr="00056242">
        <w:t>.</w:t>
      </w:r>
    </w:p>
    <w:p w14:paraId="6233070F" w14:textId="330E0E5E" w:rsidR="000C1808" w:rsidRDefault="00A24459" w:rsidP="00043367">
      <w:r>
        <w:t xml:space="preserve">Table 2 presents the </w:t>
      </w:r>
      <w:r w:rsidR="00587C34">
        <w:t>correlations between IV and price</w:t>
      </w:r>
      <w:r w:rsidR="001A6656">
        <w:t>, and</w:t>
      </w:r>
      <w:r w:rsidR="00587C34">
        <w:t xml:space="preserve"> IV changes and returns for the periods shown and defined in Fig.2. </w:t>
      </w:r>
      <w:r w:rsidR="001A6656">
        <w:t xml:space="preserve">Throughout the sample period of this research, IV and price are negatively correlated, with a coefficient of -0.454 at the significance level of 1%. A negative correlation also exists in the changes of IV and the returns of SSE 50 ETF. Taking the daily results as an example, the coefficients are -0.403 in the full sample, and -0.038 and -0.687 for the two subsamples. </w:t>
      </w:r>
    </w:p>
    <w:p w14:paraId="6BCCAD72" w14:textId="524F8858" w:rsidR="00A109F2" w:rsidRPr="00A109F2" w:rsidRDefault="00A109F2" w:rsidP="0042393E">
      <w:pPr>
        <w:spacing w:before="160" w:after="80" w:line="240" w:lineRule="auto"/>
        <w:ind w:firstLine="0"/>
        <w:rPr>
          <w:rFonts w:ascii="Times New Roman" w:eastAsia="Times New Roman" w:hAnsi="Times New Roman" w:cs="Times New Roman"/>
          <w:kern w:val="0"/>
          <w:lang w:eastAsia="zh-CN"/>
        </w:rPr>
      </w:pPr>
      <w:r w:rsidRPr="00A109F2">
        <w:rPr>
          <w:rFonts w:ascii="Times New Roman" w:eastAsia="Times New Roman" w:hAnsi="Times New Roman" w:cs="Times New Roman"/>
          <w:kern w:val="0"/>
          <w:lang w:eastAsia="zh-CN"/>
        </w:rPr>
        <w:t>Table 2</w:t>
      </w:r>
      <w:r w:rsidR="00BE5063">
        <w:rPr>
          <w:rFonts w:ascii="Times New Roman" w:eastAsia="Times New Roman" w:hAnsi="Times New Roman" w:cs="Times New Roman"/>
          <w:kern w:val="0"/>
          <w:lang w:eastAsia="zh-CN"/>
        </w:rPr>
        <w:t xml:space="preserve"> </w:t>
      </w:r>
      <w:r w:rsidRPr="00A109F2">
        <w:rPr>
          <w:rFonts w:ascii="Times New Roman" w:eastAsia="Times New Roman" w:hAnsi="Times New Roman" w:cs="Times New Roman"/>
          <w:kern w:val="0"/>
          <w:lang w:eastAsia="zh-CN"/>
        </w:rPr>
        <w:t xml:space="preserve">Correlation </w:t>
      </w:r>
      <w:r w:rsidR="00A24459">
        <w:rPr>
          <w:rFonts w:ascii="Times New Roman" w:eastAsia="Times New Roman" w:hAnsi="Times New Roman" w:cs="Times New Roman"/>
          <w:kern w:val="0"/>
          <w:lang w:eastAsia="zh-CN"/>
        </w:rPr>
        <w:t>between</w:t>
      </w:r>
      <w:r w:rsidRPr="00A109F2">
        <w:rPr>
          <w:rFonts w:ascii="Times New Roman" w:eastAsia="Times New Roman" w:hAnsi="Times New Roman" w:cs="Times New Roman"/>
          <w:kern w:val="0"/>
          <w:lang w:eastAsia="zh-CN"/>
        </w:rPr>
        <w:t xml:space="preserve"> IV (IV changes) and price of SSE 50 ETF (returns)</w:t>
      </w:r>
    </w:p>
    <w:tbl>
      <w:tblPr>
        <w:tblW w:w="9278" w:type="dxa"/>
        <w:tblLook w:val="0620" w:firstRow="1" w:lastRow="0" w:firstColumn="0" w:lastColumn="0" w:noHBand="1" w:noVBand="1"/>
      </w:tblPr>
      <w:tblGrid>
        <w:gridCol w:w="2572"/>
        <w:gridCol w:w="1200"/>
        <w:gridCol w:w="1757"/>
        <w:gridCol w:w="1864"/>
        <w:gridCol w:w="1885"/>
      </w:tblGrid>
      <w:tr w:rsidR="00A109F2" w:rsidRPr="00A109F2" w14:paraId="3B84E5D6" w14:textId="77777777" w:rsidTr="00587C34">
        <w:trPr>
          <w:trHeight w:val="57"/>
        </w:trPr>
        <w:tc>
          <w:tcPr>
            <w:tcW w:w="2572" w:type="dxa"/>
            <w:tcBorders>
              <w:top w:val="single" w:sz="4" w:space="0" w:color="auto"/>
              <w:left w:val="nil"/>
              <w:bottom w:val="nil"/>
              <w:right w:val="nil"/>
            </w:tcBorders>
            <w:shd w:val="clear" w:color="auto" w:fill="auto"/>
            <w:noWrap/>
            <w:vAlign w:val="bottom"/>
            <w:hideMark/>
          </w:tcPr>
          <w:p w14:paraId="2626E5C7" w14:textId="77777777" w:rsidR="00A109F2" w:rsidRPr="00D70838" w:rsidRDefault="00A109F2" w:rsidP="00A109F2">
            <w:pPr>
              <w:spacing w:line="240" w:lineRule="auto"/>
              <w:ind w:firstLine="0"/>
              <w:rPr>
                <w:rFonts w:ascii="Calibri" w:eastAsia="Times New Roman" w:hAnsi="Calibri" w:cs="Calibri"/>
                <w:color w:val="000000"/>
                <w:kern w:val="0"/>
                <w:sz w:val="8"/>
                <w:szCs w:val="8"/>
                <w:lang w:val="en-CN" w:eastAsia="zh-CN"/>
              </w:rPr>
            </w:pPr>
            <w:r w:rsidRPr="00D70838">
              <w:rPr>
                <w:rFonts w:ascii="Calibri" w:eastAsia="Times New Roman" w:hAnsi="Calibri" w:cs="Calibri"/>
                <w:color w:val="000000"/>
                <w:kern w:val="0"/>
                <w:sz w:val="8"/>
                <w:szCs w:val="8"/>
                <w:lang w:eastAsia="zh-CN"/>
              </w:rPr>
              <w:t> </w:t>
            </w:r>
          </w:p>
        </w:tc>
        <w:tc>
          <w:tcPr>
            <w:tcW w:w="1200" w:type="dxa"/>
            <w:tcBorders>
              <w:top w:val="single" w:sz="4" w:space="0" w:color="auto"/>
              <w:left w:val="nil"/>
              <w:bottom w:val="nil"/>
              <w:right w:val="nil"/>
            </w:tcBorders>
            <w:shd w:val="clear" w:color="auto" w:fill="auto"/>
            <w:noWrap/>
            <w:vAlign w:val="bottom"/>
            <w:hideMark/>
          </w:tcPr>
          <w:p w14:paraId="3D49C468" w14:textId="77777777" w:rsidR="00A109F2" w:rsidRPr="00D70838" w:rsidRDefault="00A109F2" w:rsidP="00A109F2">
            <w:pPr>
              <w:spacing w:line="240" w:lineRule="auto"/>
              <w:ind w:firstLine="0"/>
              <w:rPr>
                <w:rFonts w:ascii="Calibri" w:eastAsia="Times New Roman" w:hAnsi="Calibri" w:cs="Calibri"/>
                <w:color w:val="000000"/>
                <w:kern w:val="0"/>
                <w:sz w:val="8"/>
                <w:szCs w:val="8"/>
                <w:lang w:val="en-CN" w:eastAsia="zh-CN"/>
              </w:rPr>
            </w:pPr>
            <w:r w:rsidRPr="00D70838">
              <w:rPr>
                <w:rFonts w:ascii="Calibri" w:eastAsia="Times New Roman" w:hAnsi="Calibri" w:cs="Calibri"/>
                <w:color w:val="000000"/>
                <w:kern w:val="0"/>
                <w:sz w:val="8"/>
                <w:szCs w:val="8"/>
                <w:lang w:val="en-CN" w:eastAsia="zh-CN"/>
              </w:rPr>
              <w:t> </w:t>
            </w:r>
          </w:p>
        </w:tc>
        <w:tc>
          <w:tcPr>
            <w:tcW w:w="1757" w:type="dxa"/>
            <w:tcBorders>
              <w:top w:val="single" w:sz="4" w:space="0" w:color="auto"/>
              <w:left w:val="nil"/>
              <w:bottom w:val="nil"/>
              <w:right w:val="nil"/>
            </w:tcBorders>
            <w:shd w:val="clear" w:color="auto" w:fill="auto"/>
            <w:noWrap/>
            <w:vAlign w:val="bottom"/>
            <w:hideMark/>
          </w:tcPr>
          <w:p w14:paraId="52009DB3" w14:textId="77777777" w:rsidR="00A109F2" w:rsidRPr="00D70838" w:rsidRDefault="00A109F2" w:rsidP="00A109F2">
            <w:pPr>
              <w:spacing w:line="240" w:lineRule="auto"/>
              <w:ind w:firstLine="0"/>
              <w:rPr>
                <w:rFonts w:ascii="Calibri" w:eastAsia="Times New Roman" w:hAnsi="Calibri" w:cs="Calibri"/>
                <w:color w:val="000000"/>
                <w:kern w:val="0"/>
                <w:sz w:val="8"/>
                <w:szCs w:val="8"/>
                <w:lang w:val="en-CN" w:eastAsia="zh-CN"/>
              </w:rPr>
            </w:pPr>
            <w:r w:rsidRPr="00D70838">
              <w:rPr>
                <w:rFonts w:ascii="Calibri" w:eastAsia="Times New Roman" w:hAnsi="Calibri" w:cs="Calibri"/>
                <w:color w:val="000000"/>
                <w:kern w:val="0"/>
                <w:sz w:val="8"/>
                <w:szCs w:val="8"/>
                <w:lang w:val="en-CN" w:eastAsia="zh-CN"/>
              </w:rPr>
              <w:t> </w:t>
            </w:r>
          </w:p>
        </w:tc>
        <w:tc>
          <w:tcPr>
            <w:tcW w:w="1864" w:type="dxa"/>
            <w:tcBorders>
              <w:top w:val="single" w:sz="4" w:space="0" w:color="auto"/>
              <w:left w:val="nil"/>
              <w:bottom w:val="nil"/>
              <w:right w:val="nil"/>
            </w:tcBorders>
            <w:shd w:val="clear" w:color="auto" w:fill="auto"/>
            <w:noWrap/>
            <w:vAlign w:val="bottom"/>
            <w:hideMark/>
          </w:tcPr>
          <w:p w14:paraId="7CAEC6A6" w14:textId="77777777" w:rsidR="00A109F2" w:rsidRPr="00D70838" w:rsidRDefault="00A109F2" w:rsidP="00A109F2">
            <w:pPr>
              <w:spacing w:line="240" w:lineRule="auto"/>
              <w:ind w:firstLine="0"/>
              <w:rPr>
                <w:rFonts w:ascii="Calibri" w:eastAsia="Times New Roman" w:hAnsi="Calibri" w:cs="Calibri"/>
                <w:color w:val="000000"/>
                <w:kern w:val="0"/>
                <w:sz w:val="8"/>
                <w:szCs w:val="8"/>
                <w:lang w:val="en-CN" w:eastAsia="zh-CN"/>
              </w:rPr>
            </w:pPr>
            <w:r w:rsidRPr="00D70838">
              <w:rPr>
                <w:rFonts w:ascii="Calibri" w:eastAsia="Times New Roman" w:hAnsi="Calibri" w:cs="Calibri"/>
                <w:color w:val="000000"/>
                <w:kern w:val="0"/>
                <w:sz w:val="8"/>
                <w:szCs w:val="8"/>
                <w:lang w:val="en-CN" w:eastAsia="zh-CN"/>
              </w:rPr>
              <w:t> </w:t>
            </w:r>
          </w:p>
        </w:tc>
        <w:tc>
          <w:tcPr>
            <w:tcW w:w="1885" w:type="dxa"/>
            <w:tcBorders>
              <w:top w:val="single" w:sz="4" w:space="0" w:color="auto"/>
              <w:left w:val="nil"/>
              <w:bottom w:val="nil"/>
              <w:right w:val="nil"/>
            </w:tcBorders>
            <w:shd w:val="clear" w:color="auto" w:fill="auto"/>
            <w:noWrap/>
            <w:vAlign w:val="bottom"/>
            <w:hideMark/>
          </w:tcPr>
          <w:p w14:paraId="5807BA5A" w14:textId="77777777" w:rsidR="00A109F2" w:rsidRPr="00D70838" w:rsidRDefault="00A109F2" w:rsidP="00A109F2">
            <w:pPr>
              <w:spacing w:line="240" w:lineRule="auto"/>
              <w:ind w:firstLine="0"/>
              <w:rPr>
                <w:rFonts w:ascii="Calibri" w:eastAsia="Times New Roman" w:hAnsi="Calibri" w:cs="Calibri"/>
                <w:color w:val="000000"/>
                <w:kern w:val="0"/>
                <w:sz w:val="8"/>
                <w:szCs w:val="8"/>
                <w:lang w:val="en-CN" w:eastAsia="zh-CN"/>
              </w:rPr>
            </w:pPr>
            <w:r w:rsidRPr="00D70838">
              <w:rPr>
                <w:rFonts w:ascii="Calibri" w:eastAsia="Times New Roman" w:hAnsi="Calibri" w:cs="Calibri"/>
                <w:color w:val="000000"/>
                <w:kern w:val="0"/>
                <w:sz w:val="8"/>
                <w:szCs w:val="8"/>
                <w:lang w:val="en-CN" w:eastAsia="zh-CN"/>
              </w:rPr>
              <w:t> </w:t>
            </w:r>
          </w:p>
        </w:tc>
      </w:tr>
      <w:tr w:rsidR="00A109F2" w:rsidRPr="00A109F2" w14:paraId="284B5858" w14:textId="77777777" w:rsidTr="001A6656">
        <w:trPr>
          <w:trHeight w:val="327"/>
        </w:trPr>
        <w:tc>
          <w:tcPr>
            <w:tcW w:w="2572" w:type="dxa"/>
            <w:tcBorders>
              <w:top w:val="nil"/>
              <w:left w:val="nil"/>
              <w:bottom w:val="single" w:sz="4" w:space="0" w:color="auto"/>
              <w:right w:val="nil"/>
            </w:tcBorders>
            <w:shd w:val="clear" w:color="auto" w:fill="auto"/>
            <w:noWrap/>
            <w:vAlign w:val="bottom"/>
            <w:hideMark/>
          </w:tcPr>
          <w:p w14:paraId="74722618" w14:textId="77777777" w:rsidR="00A109F2" w:rsidRPr="00A109F2" w:rsidRDefault="00A109F2" w:rsidP="00A109F2">
            <w:pPr>
              <w:spacing w:line="240" w:lineRule="auto"/>
              <w:ind w:firstLine="0"/>
              <w:rPr>
                <w:rFonts w:ascii="Times New Roman" w:eastAsia="Times New Roman" w:hAnsi="Times New Roman" w:cs="Times New Roman"/>
                <w:b/>
                <w:bCs/>
                <w:i/>
                <w:iCs/>
                <w:color w:val="000000"/>
                <w:kern w:val="0"/>
                <w:lang w:val="en-CN" w:eastAsia="zh-CN"/>
              </w:rPr>
            </w:pPr>
            <w:r w:rsidRPr="00A109F2">
              <w:rPr>
                <w:rFonts w:ascii="Times New Roman" w:eastAsia="Times New Roman" w:hAnsi="Times New Roman" w:cs="Times New Roman"/>
                <w:b/>
                <w:bCs/>
                <w:i/>
                <w:iCs/>
                <w:color w:val="000000"/>
                <w:kern w:val="0"/>
                <w:lang w:eastAsia="zh-CN"/>
              </w:rPr>
              <w:t>Daily</w:t>
            </w:r>
          </w:p>
        </w:tc>
        <w:tc>
          <w:tcPr>
            <w:tcW w:w="1200" w:type="dxa"/>
            <w:tcBorders>
              <w:top w:val="nil"/>
              <w:left w:val="nil"/>
              <w:bottom w:val="single" w:sz="4" w:space="0" w:color="auto"/>
              <w:right w:val="nil"/>
            </w:tcBorders>
            <w:shd w:val="clear" w:color="auto" w:fill="auto"/>
            <w:noWrap/>
            <w:vAlign w:val="bottom"/>
            <w:hideMark/>
          </w:tcPr>
          <w:p w14:paraId="5A2C6160"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A</w:t>
            </w:r>
          </w:p>
        </w:tc>
        <w:tc>
          <w:tcPr>
            <w:tcW w:w="1757" w:type="dxa"/>
            <w:tcBorders>
              <w:top w:val="nil"/>
              <w:left w:val="nil"/>
              <w:bottom w:val="single" w:sz="4" w:space="0" w:color="auto"/>
              <w:right w:val="nil"/>
            </w:tcBorders>
            <w:shd w:val="clear" w:color="auto" w:fill="auto"/>
            <w:noWrap/>
            <w:vAlign w:val="bottom"/>
            <w:hideMark/>
          </w:tcPr>
          <w:p w14:paraId="73A0870C"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B (Full sample)</w:t>
            </w:r>
          </w:p>
        </w:tc>
        <w:tc>
          <w:tcPr>
            <w:tcW w:w="1864" w:type="dxa"/>
            <w:tcBorders>
              <w:top w:val="nil"/>
              <w:left w:val="nil"/>
              <w:bottom w:val="single" w:sz="4" w:space="0" w:color="auto"/>
              <w:right w:val="nil"/>
            </w:tcBorders>
            <w:shd w:val="clear" w:color="auto" w:fill="auto"/>
            <w:noWrap/>
            <w:vAlign w:val="bottom"/>
            <w:hideMark/>
          </w:tcPr>
          <w:p w14:paraId="7069DC21"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C (Subsample 1)</w:t>
            </w:r>
          </w:p>
        </w:tc>
        <w:tc>
          <w:tcPr>
            <w:tcW w:w="1885" w:type="dxa"/>
            <w:tcBorders>
              <w:top w:val="nil"/>
              <w:left w:val="nil"/>
              <w:bottom w:val="single" w:sz="4" w:space="0" w:color="auto"/>
              <w:right w:val="nil"/>
            </w:tcBorders>
            <w:shd w:val="clear" w:color="auto" w:fill="auto"/>
            <w:noWrap/>
            <w:vAlign w:val="bottom"/>
            <w:hideMark/>
          </w:tcPr>
          <w:p w14:paraId="282ED919"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D (Subsample 2)</w:t>
            </w:r>
          </w:p>
        </w:tc>
      </w:tr>
      <w:tr w:rsidR="00A109F2" w:rsidRPr="00A109F2" w14:paraId="1C10B37A" w14:textId="77777777" w:rsidTr="001A6656">
        <w:trPr>
          <w:trHeight w:val="327"/>
        </w:trPr>
        <w:tc>
          <w:tcPr>
            <w:tcW w:w="2572" w:type="dxa"/>
            <w:tcBorders>
              <w:top w:val="nil"/>
              <w:left w:val="nil"/>
              <w:bottom w:val="nil"/>
              <w:right w:val="nil"/>
            </w:tcBorders>
            <w:shd w:val="clear" w:color="auto" w:fill="auto"/>
            <w:noWrap/>
            <w:vAlign w:val="bottom"/>
            <w:hideMark/>
          </w:tcPr>
          <w:p w14:paraId="6D88EDA6"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IV and price</w:t>
            </w:r>
          </w:p>
        </w:tc>
        <w:tc>
          <w:tcPr>
            <w:tcW w:w="1200" w:type="dxa"/>
            <w:tcBorders>
              <w:top w:val="nil"/>
              <w:left w:val="nil"/>
              <w:bottom w:val="nil"/>
              <w:right w:val="nil"/>
            </w:tcBorders>
            <w:shd w:val="clear" w:color="auto" w:fill="auto"/>
            <w:noWrap/>
            <w:vAlign w:val="bottom"/>
            <w:hideMark/>
          </w:tcPr>
          <w:p w14:paraId="3911F6A9"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0.027</w:t>
            </w:r>
          </w:p>
        </w:tc>
        <w:tc>
          <w:tcPr>
            <w:tcW w:w="1757" w:type="dxa"/>
            <w:tcBorders>
              <w:top w:val="nil"/>
              <w:left w:val="nil"/>
              <w:bottom w:val="nil"/>
              <w:right w:val="nil"/>
            </w:tcBorders>
            <w:shd w:val="clear" w:color="auto" w:fill="auto"/>
            <w:noWrap/>
            <w:vAlign w:val="bottom"/>
            <w:hideMark/>
          </w:tcPr>
          <w:p w14:paraId="013086E4"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-0.454***</w:t>
            </w:r>
          </w:p>
        </w:tc>
        <w:tc>
          <w:tcPr>
            <w:tcW w:w="1864" w:type="dxa"/>
            <w:tcBorders>
              <w:top w:val="nil"/>
              <w:left w:val="nil"/>
              <w:bottom w:val="nil"/>
              <w:right w:val="nil"/>
            </w:tcBorders>
            <w:shd w:val="clear" w:color="auto" w:fill="auto"/>
            <w:noWrap/>
            <w:vAlign w:val="bottom"/>
            <w:hideMark/>
          </w:tcPr>
          <w:p w14:paraId="3DB395F8"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0.502***</w:t>
            </w:r>
          </w:p>
        </w:tc>
        <w:tc>
          <w:tcPr>
            <w:tcW w:w="1885" w:type="dxa"/>
            <w:tcBorders>
              <w:top w:val="nil"/>
              <w:left w:val="nil"/>
              <w:bottom w:val="nil"/>
              <w:right w:val="nil"/>
            </w:tcBorders>
            <w:shd w:val="clear" w:color="auto" w:fill="auto"/>
            <w:noWrap/>
            <w:vAlign w:val="bottom"/>
            <w:hideMark/>
          </w:tcPr>
          <w:p w14:paraId="2D8D2D54"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-0.850***</w:t>
            </w:r>
          </w:p>
        </w:tc>
      </w:tr>
      <w:tr w:rsidR="00A109F2" w:rsidRPr="00A109F2" w14:paraId="49AF54E7" w14:textId="77777777" w:rsidTr="001A6656">
        <w:trPr>
          <w:trHeight w:val="327"/>
        </w:trPr>
        <w:tc>
          <w:tcPr>
            <w:tcW w:w="2572" w:type="dxa"/>
            <w:tcBorders>
              <w:top w:val="nil"/>
              <w:left w:val="nil"/>
              <w:bottom w:val="nil"/>
              <w:right w:val="nil"/>
            </w:tcBorders>
            <w:shd w:val="clear" w:color="auto" w:fill="auto"/>
            <w:noWrap/>
            <w:vAlign w:val="bottom"/>
            <w:hideMark/>
          </w:tcPr>
          <w:p w14:paraId="47C21F7E"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IV changes and returns</w:t>
            </w:r>
          </w:p>
        </w:tc>
        <w:tc>
          <w:tcPr>
            <w:tcW w:w="1200" w:type="dxa"/>
            <w:tcBorders>
              <w:top w:val="nil"/>
              <w:left w:val="nil"/>
              <w:bottom w:val="nil"/>
              <w:right w:val="nil"/>
            </w:tcBorders>
            <w:shd w:val="clear" w:color="auto" w:fill="auto"/>
            <w:noWrap/>
            <w:vAlign w:val="bottom"/>
            <w:hideMark/>
          </w:tcPr>
          <w:p w14:paraId="7D3F0C3F"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-0.183***</w:t>
            </w:r>
          </w:p>
        </w:tc>
        <w:tc>
          <w:tcPr>
            <w:tcW w:w="1757" w:type="dxa"/>
            <w:tcBorders>
              <w:top w:val="nil"/>
              <w:left w:val="nil"/>
              <w:bottom w:val="nil"/>
              <w:right w:val="nil"/>
            </w:tcBorders>
            <w:shd w:val="clear" w:color="auto" w:fill="auto"/>
            <w:noWrap/>
            <w:vAlign w:val="bottom"/>
            <w:hideMark/>
          </w:tcPr>
          <w:p w14:paraId="76C5C72B"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-0.403***</w:t>
            </w:r>
          </w:p>
        </w:tc>
        <w:tc>
          <w:tcPr>
            <w:tcW w:w="1864" w:type="dxa"/>
            <w:tcBorders>
              <w:top w:val="nil"/>
              <w:left w:val="nil"/>
              <w:bottom w:val="nil"/>
              <w:right w:val="nil"/>
            </w:tcBorders>
            <w:shd w:val="clear" w:color="auto" w:fill="auto"/>
            <w:noWrap/>
            <w:vAlign w:val="bottom"/>
            <w:hideMark/>
          </w:tcPr>
          <w:p w14:paraId="1C76A73F"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-0.038</w:t>
            </w:r>
          </w:p>
        </w:tc>
        <w:tc>
          <w:tcPr>
            <w:tcW w:w="1885" w:type="dxa"/>
            <w:tcBorders>
              <w:top w:val="nil"/>
              <w:left w:val="nil"/>
              <w:bottom w:val="nil"/>
              <w:right w:val="nil"/>
            </w:tcBorders>
            <w:shd w:val="clear" w:color="auto" w:fill="auto"/>
            <w:noWrap/>
            <w:vAlign w:val="bottom"/>
            <w:hideMark/>
          </w:tcPr>
          <w:p w14:paraId="0EFAE1A6"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-0.687***</w:t>
            </w:r>
          </w:p>
        </w:tc>
      </w:tr>
      <w:tr w:rsidR="00A109F2" w:rsidRPr="00A109F2" w14:paraId="07381E51" w14:textId="77777777" w:rsidTr="001A6656">
        <w:trPr>
          <w:trHeight w:val="163"/>
        </w:trPr>
        <w:tc>
          <w:tcPr>
            <w:tcW w:w="2572" w:type="dxa"/>
            <w:tcBorders>
              <w:top w:val="nil"/>
              <w:left w:val="nil"/>
              <w:bottom w:val="nil"/>
              <w:right w:val="nil"/>
            </w:tcBorders>
            <w:shd w:val="clear" w:color="auto" w:fill="auto"/>
            <w:noWrap/>
            <w:vAlign w:val="bottom"/>
            <w:hideMark/>
          </w:tcPr>
          <w:p w14:paraId="6658F337"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p>
        </w:tc>
        <w:tc>
          <w:tcPr>
            <w:tcW w:w="1200" w:type="dxa"/>
            <w:tcBorders>
              <w:top w:val="nil"/>
              <w:left w:val="nil"/>
              <w:bottom w:val="nil"/>
              <w:right w:val="nil"/>
            </w:tcBorders>
            <w:shd w:val="clear" w:color="auto" w:fill="auto"/>
            <w:noWrap/>
            <w:vAlign w:val="bottom"/>
            <w:hideMark/>
          </w:tcPr>
          <w:p w14:paraId="7D7761E3"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c>
          <w:tcPr>
            <w:tcW w:w="1757" w:type="dxa"/>
            <w:tcBorders>
              <w:top w:val="nil"/>
              <w:left w:val="nil"/>
              <w:bottom w:val="nil"/>
              <w:right w:val="nil"/>
            </w:tcBorders>
            <w:shd w:val="clear" w:color="auto" w:fill="auto"/>
            <w:noWrap/>
            <w:vAlign w:val="bottom"/>
            <w:hideMark/>
          </w:tcPr>
          <w:p w14:paraId="67F34AA8"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c>
          <w:tcPr>
            <w:tcW w:w="1864" w:type="dxa"/>
            <w:tcBorders>
              <w:top w:val="nil"/>
              <w:left w:val="nil"/>
              <w:bottom w:val="nil"/>
              <w:right w:val="nil"/>
            </w:tcBorders>
            <w:shd w:val="clear" w:color="auto" w:fill="auto"/>
            <w:noWrap/>
            <w:vAlign w:val="bottom"/>
            <w:hideMark/>
          </w:tcPr>
          <w:p w14:paraId="7B83FF58"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c>
          <w:tcPr>
            <w:tcW w:w="1885" w:type="dxa"/>
            <w:tcBorders>
              <w:top w:val="nil"/>
              <w:left w:val="nil"/>
              <w:bottom w:val="nil"/>
              <w:right w:val="nil"/>
            </w:tcBorders>
            <w:shd w:val="clear" w:color="auto" w:fill="auto"/>
            <w:noWrap/>
            <w:vAlign w:val="bottom"/>
            <w:hideMark/>
          </w:tcPr>
          <w:p w14:paraId="11E7DDE4"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r>
      <w:tr w:rsidR="00A109F2" w:rsidRPr="00A109F2" w14:paraId="620A2C53" w14:textId="77777777" w:rsidTr="001A6656">
        <w:trPr>
          <w:trHeight w:val="327"/>
        </w:trPr>
        <w:tc>
          <w:tcPr>
            <w:tcW w:w="2572" w:type="dxa"/>
            <w:tcBorders>
              <w:top w:val="nil"/>
              <w:left w:val="nil"/>
              <w:bottom w:val="single" w:sz="4" w:space="0" w:color="auto"/>
              <w:right w:val="nil"/>
            </w:tcBorders>
            <w:shd w:val="clear" w:color="auto" w:fill="auto"/>
            <w:noWrap/>
            <w:vAlign w:val="bottom"/>
            <w:hideMark/>
          </w:tcPr>
          <w:p w14:paraId="0EEFBC88" w14:textId="77777777" w:rsidR="00A109F2" w:rsidRPr="00A109F2" w:rsidRDefault="00A109F2" w:rsidP="00A109F2">
            <w:pPr>
              <w:spacing w:line="240" w:lineRule="auto"/>
              <w:ind w:firstLine="0"/>
              <w:rPr>
                <w:rFonts w:ascii="Times New Roman" w:eastAsia="Times New Roman" w:hAnsi="Times New Roman" w:cs="Times New Roman"/>
                <w:b/>
                <w:bCs/>
                <w:i/>
                <w:iCs/>
                <w:color w:val="000000"/>
                <w:kern w:val="0"/>
                <w:lang w:val="en-CN" w:eastAsia="zh-CN"/>
              </w:rPr>
            </w:pPr>
            <w:r w:rsidRPr="00A109F2">
              <w:rPr>
                <w:rFonts w:ascii="Times New Roman" w:eastAsia="Times New Roman" w:hAnsi="Times New Roman" w:cs="Times New Roman"/>
                <w:b/>
                <w:bCs/>
                <w:i/>
                <w:iCs/>
                <w:color w:val="000000"/>
                <w:kern w:val="0"/>
                <w:lang w:eastAsia="zh-CN"/>
              </w:rPr>
              <w:t>30-min</w:t>
            </w:r>
          </w:p>
        </w:tc>
        <w:tc>
          <w:tcPr>
            <w:tcW w:w="1200" w:type="dxa"/>
            <w:tcBorders>
              <w:top w:val="nil"/>
              <w:left w:val="nil"/>
              <w:bottom w:val="single" w:sz="4" w:space="0" w:color="auto"/>
              <w:right w:val="nil"/>
            </w:tcBorders>
            <w:shd w:val="clear" w:color="auto" w:fill="auto"/>
            <w:noWrap/>
            <w:vAlign w:val="bottom"/>
            <w:hideMark/>
          </w:tcPr>
          <w:p w14:paraId="1E205C3D"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C</w:t>
            </w:r>
          </w:p>
        </w:tc>
        <w:tc>
          <w:tcPr>
            <w:tcW w:w="1757" w:type="dxa"/>
            <w:tcBorders>
              <w:top w:val="nil"/>
              <w:left w:val="nil"/>
              <w:bottom w:val="single" w:sz="4" w:space="0" w:color="auto"/>
              <w:right w:val="nil"/>
            </w:tcBorders>
            <w:shd w:val="clear" w:color="auto" w:fill="auto"/>
            <w:noWrap/>
            <w:vAlign w:val="bottom"/>
            <w:hideMark/>
          </w:tcPr>
          <w:p w14:paraId="5A7F57CA"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D</w:t>
            </w:r>
          </w:p>
        </w:tc>
        <w:tc>
          <w:tcPr>
            <w:tcW w:w="1864" w:type="dxa"/>
            <w:tcBorders>
              <w:top w:val="nil"/>
              <w:left w:val="nil"/>
              <w:bottom w:val="nil"/>
              <w:right w:val="nil"/>
            </w:tcBorders>
            <w:shd w:val="clear" w:color="auto" w:fill="auto"/>
            <w:noWrap/>
            <w:vAlign w:val="bottom"/>
            <w:hideMark/>
          </w:tcPr>
          <w:p w14:paraId="6257D319"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p>
        </w:tc>
        <w:tc>
          <w:tcPr>
            <w:tcW w:w="1885" w:type="dxa"/>
            <w:tcBorders>
              <w:top w:val="nil"/>
              <w:left w:val="nil"/>
              <w:bottom w:val="nil"/>
              <w:right w:val="nil"/>
            </w:tcBorders>
            <w:shd w:val="clear" w:color="auto" w:fill="auto"/>
            <w:noWrap/>
            <w:vAlign w:val="bottom"/>
            <w:hideMark/>
          </w:tcPr>
          <w:p w14:paraId="5E4A4371"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r>
      <w:tr w:rsidR="00A109F2" w:rsidRPr="00A109F2" w14:paraId="09A1FF28" w14:textId="77777777" w:rsidTr="001A6656">
        <w:trPr>
          <w:trHeight w:val="327"/>
        </w:trPr>
        <w:tc>
          <w:tcPr>
            <w:tcW w:w="2572" w:type="dxa"/>
            <w:tcBorders>
              <w:top w:val="nil"/>
              <w:left w:val="nil"/>
              <w:bottom w:val="nil"/>
              <w:right w:val="nil"/>
            </w:tcBorders>
            <w:shd w:val="clear" w:color="auto" w:fill="auto"/>
            <w:noWrap/>
            <w:vAlign w:val="bottom"/>
            <w:hideMark/>
          </w:tcPr>
          <w:p w14:paraId="3B536A08"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IV and price</w:t>
            </w:r>
          </w:p>
        </w:tc>
        <w:tc>
          <w:tcPr>
            <w:tcW w:w="1200" w:type="dxa"/>
            <w:tcBorders>
              <w:top w:val="nil"/>
              <w:left w:val="nil"/>
              <w:bottom w:val="nil"/>
              <w:right w:val="nil"/>
            </w:tcBorders>
            <w:shd w:val="clear" w:color="auto" w:fill="auto"/>
            <w:noWrap/>
            <w:vAlign w:val="bottom"/>
            <w:hideMark/>
          </w:tcPr>
          <w:p w14:paraId="0A1794BE"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0.594***</w:t>
            </w:r>
          </w:p>
        </w:tc>
        <w:tc>
          <w:tcPr>
            <w:tcW w:w="1757" w:type="dxa"/>
            <w:tcBorders>
              <w:top w:val="nil"/>
              <w:left w:val="nil"/>
              <w:bottom w:val="nil"/>
              <w:right w:val="nil"/>
            </w:tcBorders>
            <w:shd w:val="clear" w:color="auto" w:fill="auto"/>
            <w:noWrap/>
            <w:vAlign w:val="bottom"/>
            <w:hideMark/>
          </w:tcPr>
          <w:p w14:paraId="45B1FCB6"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-0.854***</w:t>
            </w:r>
          </w:p>
        </w:tc>
        <w:tc>
          <w:tcPr>
            <w:tcW w:w="1864" w:type="dxa"/>
            <w:tcBorders>
              <w:top w:val="nil"/>
              <w:left w:val="nil"/>
              <w:bottom w:val="nil"/>
              <w:right w:val="nil"/>
            </w:tcBorders>
            <w:shd w:val="clear" w:color="auto" w:fill="auto"/>
            <w:noWrap/>
            <w:vAlign w:val="bottom"/>
            <w:hideMark/>
          </w:tcPr>
          <w:p w14:paraId="5838BB17"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p>
        </w:tc>
        <w:tc>
          <w:tcPr>
            <w:tcW w:w="1885" w:type="dxa"/>
            <w:tcBorders>
              <w:top w:val="nil"/>
              <w:left w:val="nil"/>
              <w:bottom w:val="nil"/>
              <w:right w:val="nil"/>
            </w:tcBorders>
            <w:shd w:val="clear" w:color="auto" w:fill="auto"/>
            <w:noWrap/>
            <w:vAlign w:val="bottom"/>
            <w:hideMark/>
          </w:tcPr>
          <w:p w14:paraId="136E4D8E"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r>
      <w:tr w:rsidR="00A109F2" w:rsidRPr="00A109F2" w14:paraId="673FF4AA" w14:textId="77777777" w:rsidTr="001A6656">
        <w:trPr>
          <w:trHeight w:val="327"/>
        </w:trPr>
        <w:tc>
          <w:tcPr>
            <w:tcW w:w="2572" w:type="dxa"/>
            <w:tcBorders>
              <w:top w:val="nil"/>
              <w:left w:val="nil"/>
              <w:bottom w:val="nil"/>
              <w:right w:val="nil"/>
            </w:tcBorders>
            <w:shd w:val="clear" w:color="auto" w:fill="auto"/>
            <w:noWrap/>
            <w:vAlign w:val="bottom"/>
            <w:hideMark/>
          </w:tcPr>
          <w:p w14:paraId="26C64859"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IV changes and returns</w:t>
            </w:r>
          </w:p>
        </w:tc>
        <w:tc>
          <w:tcPr>
            <w:tcW w:w="1200" w:type="dxa"/>
            <w:tcBorders>
              <w:top w:val="nil"/>
              <w:left w:val="nil"/>
              <w:bottom w:val="nil"/>
              <w:right w:val="nil"/>
            </w:tcBorders>
            <w:shd w:val="clear" w:color="auto" w:fill="auto"/>
            <w:noWrap/>
            <w:vAlign w:val="bottom"/>
            <w:hideMark/>
          </w:tcPr>
          <w:p w14:paraId="1FD23542"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-0.069*</w:t>
            </w:r>
          </w:p>
        </w:tc>
        <w:tc>
          <w:tcPr>
            <w:tcW w:w="1757" w:type="dxa"/>
            <w:tcBorders>
              <w:top w:val="nil"/>
              <w:left w:val="nil"/>
              <w:bottom w:val="nil"/>
              <w:right w:val="nil"/>
            </w:tcBorders>
            <w:shd w:val="clear" w:color="auto" w:fill="auto"/>
            <w:noWrap/>
            <w:vAlign w:val="bottom"/>
            <w:hideMark/>
          </w:tcPr>
          <w:p w14:paraId="5E51DDEC"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-0.513***</w:t>
            </w:r>
          </w:p>
        </w:tc>
        <w:tc>
          <w:tcPr>
            <w:tcW w:w="1864" w:type="dxa"/>
            <w:tcBorders>
              <w:top w:val="nil"/>
              <w:left w:val="nil"/>
              <w:bottom w:val="nil"/>
              <w:right w:val="nil"/>
            </w:tcBorders>
            <w:shd w:val="clear" w:color="auto" w:fill="auto"/>
            <w:noWrap/>
            <w:vAlign w:val="bottom"/>
            <w:hideMark/>
          </w:tcPr>
          <w:p w14:paraId="05BB8260"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p>
        </w:tc>
        <w:tc>
          <w:tcPr>
            <w:tcW w:w="1885" w:type="dxa"/>
            <w:tcBorders>
              <w:top w:val="nil"/>
              <w:left w:val="nil"/>
              <w:bottom w:val="nil"/>
              <w:right w:val="nil"/>
            </w:tcBorders>
            <w:shd w:val="clear" w:color="auto" w:fill="auto"/>
            <w:noWrap/>
            <w:vAlign w:val="bottom"/>
            <w:hideMark/>
          </w:tcPr>
          <w:p w14:paraId="058555F9"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r>
      <w:tr w:rsidR="00A109F2" w:rsidRPr="00A109F2" w14:paraId="09B5AC52" w14:textId="77777777" w:rsidTr="001A6656">
        <w:trPr>
          <w:trHeight w:val="163"/>
        </w:trPr>
        <w:tc>
          <w:tcPr>
            <w:tcW w:w="2572" w:type="dxa"/>
            <w:tcBorders>
              <w:top w:val="nil"/>
              <w:left w:val="nil"/>
              <w:bottom w:val="nil"/>
              <w:right w:val="nil"/>
            </w:tcBorders>
            <w:shd w:val="clear" w:color="auto" w:fill="auto"/>
            <w:noWrap/>
            <w:vAlign w:val="bottom"/>
            <w:hideMark/>
          </w:tcPr>
          <w:p w14:paraId="1B9A1B57"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c>
          <w:tcPr>
            <w:tcW w:w="1200" w:type="dxa"/>
            <w:tcBorders>
              <w:top w:val="nil"/>
              <w:left w:val="nil"/>
              <w:bottom w:val="nil"/>
              <w:right w:val="nil"/>
            </w:tcBorders>
            <w:shd w:val="clear" w:color="auto" w:fill="auto"/>
            <w:noWrap/>
            <w:vAlign w:val="bottom"/>
            <w:hideMark/>
          </w:tcPr>
          <w:p w14:paraId="02179C92"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c>
          <w:tcPr>
            <w:tcW w:w="1757" w:type="dxa"/>
            <w:tcBorders>
              <w:top w:val="nil"/>
              <w:left w:val="nil"/>
              <w:bottom w:val="nil"/>
              <w:right w:val="nil"/>
            </w:tcBorders>
            <w:shd w:val="clear" w:color="auto" w:fill="auto"/>
            <w:noWrap/>
            <w:vAlign w:val="bottom"/>
            <w:hideMark/>
          </w:tcPr>
          <w:p w14:paraId="5EDE36D9"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c>
          <w:tcPr>
            <w:tcW w:w="1864" w:type="dxa"/>
            <w:tcBorders>
              <w:top w:val="nil"/>
              <w:left w:val="nil"/>
              <w:bottom w:val="nil"/>
              <w:right w:val="nil"/>
            </w:tcBorders>
            <w:shd w:val="clear" w:color="auto" w:fill="auto"/>
            <w:noWrap/>
            <w:vAlign w:val="bottom"/>
            <w:hideMark/>
          </w:tcPr>
          <w:p w14:paraId="0DEB0A50"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c>
          <w:tcPr>
            <w:tcW w:w="1885" w:type="dxa"/>
            <w:tcBorders>
              <w:top w:val="nil"/>
              <w:left w:val="nil"/>
              <w:bottom w:val="nil"/>
              <w:right w:val="nil"/>
            </w:tcBorders>
            <w:shd w:val="clear" w:color="auto" w:fill="auto"/>
            <w:noWrap/>
            <w:vAlign w:val="bottom"/>
            <w:hideMark/>
          </w:tcPr>
          <w:p w14:paraId="0CF763A0"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r>
      <w:tr w:rsidR="00A109F2" w:rsidRPr="00A109F2" w14:paraId="75A88B31" w14:textId="77777777" w:rsidTr="001A6656">
        <w:trPr>
          <w:trHeight w:val="327"/>
        </w:trPr>
        <w:tc>
          <w:tcPr>
            <w:tcW w:w="2572" w:type="dxa"/>
            <w:tcBorders>
              <w:top w:val="nil"/>
              <w:left w:val="nil"/>
              <w:bottom w:val="single" w:sz="4" w:space="0" w:color="auto"/>
              <w:right w:val="nil"/>
            </w:tcBorders>
            <w:shd w:val="clear" w:color="auto" w:fill="auto"/>
            <w:noWrap/>
            <w:vAlign w:val="bottom"/>
            <w:hideMark/>
          </w:tcPr>
          <w:p w14:paraId="19A08C4D" w14:textId="77777777" w:rsidR="00A109F2" w:rsidRPr="00A109F2" w:rsidRDefault="00A109F2" w:rsidP="00A109F2">
            <w:pPr>
              <w:spacing w:line="240" w:lineRule="auto"/>
              <w:ind w:firstLine="0"/>
              <w:rPr>
                <w:rFonts w:ascii="Times New Roman" w:eastAsia="Times New Roman" w:hAnsi="Times New Roman" w:cs="Times New Roman"/>
                <w:b/>
                <w:bCs/>
                <w:i/>
                <w:iCs/>
                <w:color w:val="000000"/>
                <w:kern w:val="0"/>
                <w:lang w:val="en-CN" w:eastAsia="zh-CN"/>
              </w:rPr>
            </w:pPr>
            <w:r w:rsidRPr="00A109F2">
              <w:rPr>
                <w:rFonts w:ascii="Times New Roman" w:eastAsia="Times New Roman" w:hAnsi="Times New Roman" w:cs="Times New Roman"/>
                <w:b/>
                <w:bCs/>
                <w:i/>
                <w:iCs/>
                <w:color w:val="000000"/>
                <w:kern w:val="0"/>
                <w:lang w:eastAsia="zh-CN"/>
              </w:rPr>
              <w:t>5-min</w:t>
            </w:r>
          </w:p>
        </w:tc>
        <w:tc>
          <w:tcPr>
            <w:tcW w:w="1200" w:type="dxa"/>
            <w:tcBorders>
              <w:top w:val="nil"/>
              <w:left w:val="nil"/>
              <w:bottom w:val="single" w:sz="4" w:space="0" w:color="auto"/>
              <w:right w:val="nil"/>
            </w:tcBorders>
            <w:shd w:val="clear" w:color="auto" w:fill="auto"/>
            <w:noWrap/>
            <w:vAlign w:val="bottom"/>
            <w:hideMark/>
          </w:tcPr>
          <w:p w14:paraId="3F331687"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C</w:t>
            </w:r>
          </w:p>
        </w:tc>
        <w:tc>
          <w:tcPr>
            <w:tcW w:w="1757" w:type="dxa"/>
            <w:tcBorders>
              <w:top w:val="nil"/>
              <w:left w:val="nil"/>
              <w:bottom w:val="single" w:sz="4" w:space="0" w:color="auto"/>
              <w:right w:val="nil"/>
            </w:tcBorders>
            <w:shd w:val="clear" w:color="auto" w:fill="auto"/>
            <w:noWrap/>
            <w:vAlign w:val="bottom"/>
            <w:hideMark/>
          </w:tcPr>
          <w:p w14:paraId="25F4077F"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D</w:t>
            </w:r>
          </w:p>
        </w:tc>
        <w:tc>
          <w:tcPr>
            <w:tcW w:w="1864" w:type="dxa"/>
            <w:tcBorders>
              <w:top w:val="nil"/>
              <w:left w:val="nil"/>
              <w:bottom w:val="nil"/>
              <w:right w:val="nil"/>
            </w:tcBorders>
            <w:shd w:val="clear" w:color="auto" w:fill="auto"/>
            <w:noWrap/>
            <w:vAlign w:val="bottom"/>
            <w:hideMark/>
          </w:tcPr>
          <w:p w14:paraId="1DD04D6F"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p>
        </w:tc>
        <w:tc>
          <w:tcPr>
            <w:tcW w:w="1885" w:type="dxa"/>
            <w:tcBorders>
              <w:top w:val="nil"/>
              <w:left w:val="nil"/>
              <w:bottom w:val="nil"/>
              <w:right w:val="nil"/>
            </w:tcBorders>
            <w:shd w:val="clear" w:color="auto" w:fill="auto"/>
            <w:noWrap/>
            <w:vAlign w:val="bottom"/>
            <w:hideMark/>
          </w:tcPr>
          <w:p w14:paraId="5B375AF0"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r>
      <w:tr w:rsidR="00A109F2" w:rsidRPr="00A109F2" w14:paraId="056416EC" w14:textId="77777777" w:rsidTr="001A6656">
        <w:trPr>
          <w:trHeight w:val="327"/>
        </w:trPr>
        <w:tc>
          <w:tcPr>
            <w:tcW w:w="2572" w:type="dxa"/>
            <w:tcBorders>
              <w:top w:val="nil"/>
              <w:left w:val="nil"/>
              <w:bottom w:val="nil"/>
              <w:right w:val="nil"/>
            </w:tcBorders>
            <w:shd w:val="clear" w:color="auto" w:fill="auto"/>
            <w:noWrap/>
            <w:vAlign w:val="bottom"/>
            <w:hideMark/>
          </w:tcPr>
          <w:p w14:paraId="5DF0C71E"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IV and price</w:t>
            </w:r>
          </w:p>
        </w:tc>
        <w:tc>
          <w:tcPr>
            <w:tcW w:w="1200" w:type="dxa"/>
            <w:tcBorders>
              <w:top w:val="nil"/>
              <w:left w:val="nil"/>
              <w:bottom w:val="nil"/>
              <w:right w:val="nil"/>
            </w:tcBorders>
            <w:shd w:val="clear" w:color="auto" w:fill="auto"/>
            <w:noWrap/>
            <w:vAlign w:val="bottom"/>
            <w:hideMark/>
          </w:tcPr>
          <w:p w14:paraId="7913AE86"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0.596***</w:t>
            </w:r>
          </w:p>
        </w:tc>
        <w:tc>
          <w:tcPr>
            <w:tcW w:w="1757" w:type="dxa"/>
            <w:tcBorders>
              <w:top w:val="nil"/>
              <w:left w:val="nil"/>
              <w:bottom w:val="nil"/>
              <w:right w:val="nil"/>
            </w:tcBorders>
            <w:shd w:val="clear" w:color="auto" w:fill="auto"/>
            <w:noWrap/>
            <w:vAlign w:val="bottom"/>
            <w:hideMark/>
          </w:tcPr>
          <w:p w14:paraId="031B48B7"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-0.857***</w:t>
            </w:r>
          </w:p>
        </w:tc>
        <w:tc>
          <w:tcPr>
            <w:tcW w:w="1864" w:type="dxa"/>
            <w:tcBorders>
              <w:top w:val="nil"/>
              <w:left w:val="nil"/>
              <w:bottom w:val="nil"/>
              <w:right w:val="nil"/>
            </w:tcBorders>
            <w:shd w:val="clear" w:color="auto" w:fill="auto"/>
            <w:noWrap/>
            <w:vAlign w:val="bottom"/>
            <w:hideMark/>
          </w:tcPr>
          <w:p w14:paraId="48C135AC"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p>
        </w:tc>
        <w:tc>
          <w:tcPr>
            <w:tcW w:w="1885" w:type="dxa"/>
            <w:tcBorders>
              <w:top w:val="nil"/>
              <w:left w:val="nil"/>
              <w:bottom w:val="nil"/>
              <w:right w:val="nil"/>
            </w:tcBorders>
            <w:shd w:val="clear" w:color="auto" w:fill="auto"/>
            <w:noWrap/>
            <w:vAlign w:val="bottom"/>
            <w:hideMark/>
          </w:tcPr>
          <w:p w14:paraId="3734F33C"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r>
      <w:tr w:rsidR="00A109F2" w:rsidRPr="00A109F2" w14:paraId="5B6CC6A9" w14:textId="77777777" w:rsidTr="001A6656">
        <w:trPr>
          <w:trHeight w:val="327"/>
        </w:trPr>
        <w:tc>
          <w:tcPr>
            <w:tcW w:w="2572" w:type="dxa"/>
            <w:tcBorders>
              <w:top w:val="nil"/>
              <w:left w:val="nil"/>
              <w:bottom w:val="nil"/>
              <w:right w:val="nil"/>
            </w:tcBorders>
            <w:shd w:val="clear" w:color="auto" w:fill="auto"/>
            <w:noWrap/>
            <w:vAlign w:val="bottom"/>
            <w:hideMark/>
          </w:tcPr>
          <w:p w14:paraId="6BD01234"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eastAsia="zh-CN"/>
              </w:rPr>
              <w:t>IV changes and returns</w:t>
            </w:r>
          </w:p>
        </w:tc>
        <w:tc>
          <w:tcPr>
            <w:tcW w:w="1200" w:type="dxa"/>
            <w:tcBorders>
              <w:top w:val="nil"/>
              <w:left w:val="nil"/>
              <w:bottom w:val="nil"/>
              <w:right w:val="nil"/>
            </w:tcBorders>
            <w:shd w:val="clear" w:color="auto" w:fill="auto"/>
            <w:noWrap/>
            <w:vAlign w:val="bottom"/>
            <w:hideMark/>
          </w:tcPr>
          <w:p w14:paraId="2857571E"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-0.071***</w:t>
            </w:r>
          </w:p>
        </w:tc>
        <w:tc>
          <w:tcPr>
            <w:tcW w:w="1757" w:type="dxa"/>
            <w:tcBorders>
              <w:top w:val="nil"/>
              <w:left w:val="nil"/>
              <w:bottom w:val="nil"/>
              <w:right w:val="nil"/>
            </w:tcBorders>
            <w:shd w:val="clear" w:color="auto" w:fill="auto"/>
            <w:noWrap/>
            <w:vAlign w:val="bottom"/>
            <w:hideMark/>
          </w:tcPr>
          <w:p w14:paraId="39B5E80D"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r w:rsidRPr="00A109F2">
              <w:rPr>
                <w:rFonts w:ascii="Times New Roman" w:eastAsia="Times New Roman" w:hAnsi="Times New Roman" w:cs="Times New Roman"/>
                <w:color w:val="000000"/>
                <w:kern w:val="0"/>
                <w:lang w:val="en-CN" w:eastAsia="zh-CN"/>
              </w:rPr>
              <w:t>-0.572***</w:t>
            </w:r>
          </w:p>
        </w:tc>
        <w:tc>
          <w:tcPr>
            <w:tcW w:w="1864" w:type="dxa"/>
            <w:tcBorders>
              <w:top w:val="nil"/>
              <w:left w:val="nil"/>
              <w:bottom w:val="nil"/>
              <w:right w:val="nil"/>
            </w:tcBorders>
            <w:shd w:val="clear" w:color="auto" w:fill="auto"/>
            <w:noWrap/>
            <w:vAlign w:val="bottom"/>
            <w:hideMark/>
          </w:tcPr>
          <w:p w14:paraId="1293FF83" w14:textId="77777777" w:rsidR="00A109F2" w:rsidRPr="00A109F2" w:rsidRDefault="00A109F2" w:rsidP="00A109F2">
            <w:pPr>
              <w:spacing w:line="240" w:lineRule="auto"/>
              <w:ind w:firstLine="0"/>
              <w:rPr>
                <w:rFonts w:ascii="Times New Roman" w:eastAsia="Times New Roman" w:hAnsi="Times New Roman" w:cs="Times New Roman"/>
                <w:color w:val="000000"/>
                <w:kern w:val="0"/>
                <w:lang w:val="en-CN" w:eastAsia="zh-CN"/>
              </w:rPr>
            </w:pPr>
          </w:p>
        </w:tc>
        <w:tc>
          <w:tcPr>
            <w:tcW w:w="1885" w:type="dxa"/>
            <w:tcBorders>
              <w:top w:val="nil"/>
              <w:left w:val="nil"/>
              <w:bottom w:val="nil"/>
              <w:right w:val="nil"/>
            </w:tcBorders>
            <w:shd w:val="clear" w:color="auto" w:fill="auto"/>
            <w:noWrap/>
            <w:vAlign w:val="bottom"/>
            <w:hideMark/>
          </w:tcPr>
          <w:p w14:paraId="52BDEE53" w14:textId="77777777" w:rsidR="00A109F2" w:rsidRPr="00A109F2" w:rsidRDefault="00A109F2" w:rsidP="00A109F2">
            <w:pPr>
              <w:spacing w:line="240" w:lineRule="auto"/>
              <w:ind w:firstLine="0"/>
              <w:rPr>
                <w:rFonts w:ascii="Times New Roman" w:eastAsia="Times New Roman" w:hAnsi="Times New Roman" w:cs="Times New Roman"/>
                <w:kern w:val="0"/>
                <w:sz w:val="20"/>
                <w:szCs w:val="20"/>
                <w:lang w:val="en-CN" w:eastAsia="zh-CN"/>
              </w:rPr>
            </w:pPr>
          </w:p>
        </w:tc>
      </w:tr>
      <w:tr w:rsidR="00A109F2" w:rsidRPr="00A109F2" w14:paraId="5B7C0017" w14:textId="77777777" w:rsidTr="001A6656">
        <w:trPr>
          <w:trHeight w:val="61"/>
        </w:trPr>
        <w:tc>
          <w:tcPr>
            <w:tcW w:w="2572" w:type="dxa"/>
            <w:tcBorders>
              <w:top w:val="nil"/>
              <w:left w:val="nil"/>
              <w:bottom w:val="single" w:sz="4" w:space="0" w:color="auto"/>
              <w:right w:val="nil"/>
            </w:tcBorders>
            <w:shd w:val="clear" w:color="auto" w:fill="auto"/>
            <w:noWrap/>
            <w:vAlign w:val="bottom"/>
            <w:hideMark/>
          </w:tcPr>
          <w:p w14:paraId="770E196F" w14:textId="77777777" w:rsidR="00A109F2" w:rsidRPr="00D70838" w:rsidRDefault="00A109F2" w:rsidP="00A109F2">
            <w:pPr>
              <w:spacing w:line="240" w:lineRule="auto"/>
              <w:ind w:firstLine="0"/>
              <w:rPr>
                <w:rFonts w:ascii="Calibri" w:eastAsia="Times New Roman" w:hAnsi="Calibri" w:cs="Calibri"/>
                <w:color w:val="000000"/>
                <w:kern w:val="0"/>
                <w:sz w:val="8"/>
                <w:szCs w:val="8"/>
                <w:lang w:val="en-CN" w:eastAsia="zh-CN"/>
              </w:rPr>
            </w:pPr>
            <w:r w:rsidRPr="00D70838">
              <w:rPr>
                <w:rFonts w:ascii="Calibri" w:eastAsia="Times New Roman" w:hAnsi="Calibri" w:cs="Calibri"/>
                <w:color w:val="000000"/>
                <w:kern w:val="0"/>
                <w:sz w:val="8"/>
                <w:szCs w:val="8"/>
                <w:lang w:val="en-CN" w:eastAsia="zh-CN"/>
              </w:rPr>
              <w:t> </w:t>
            </w:r>
          </w:p>
        </w:tc>
        <w:tc>
          <w:tcPr>
            <w:tcW w:w="1200" w:type="dxa"/>
            <w:tcBorders>
              <w:top w:val="nil"/>
              <w:left w:val="nil"/>
              <w:bottom w:val="single" w:sz="4" w:space="0" w:color="auto"/>
              <w:right w:val="nil"/>
            </w:tcBorders>
            <w:shd w:val="clear" w:color="auto" w:fill="auto"/>
            <w:noWrap/>
            <w:vAlign w:val="bottom"/>
            <w:hideMark/>
          </w:tcPr>
          <w:p w14:paraId="72F2A192" w14:textId="77777777" w:rsidR="00A109F2" w:rsidRPr="00D70838" w:rsidRDefault="00A109F2" w:rsidP="00A109F2">
            <w:pPr>
              <w:spacing w:line="240" w:lineRule="auto"/>
              <w:ind w:firstLine="0"/>
              <w:rPr>
                <w:rFonts w:ascii="Calibri" w:eastAsia="Times New Roman" w:hAnsi="Calibri" w:cs="Calibri"/>
                <w:color w:val="000000"/>
                <w:kern w:val="0"/>
                <w:sz w:val="8"/>
                <w:szCs w:val="8"/>
                <w:lang w:val="en-CN" w:eastAsia="zh-CN"/>
              </w:rPr>
            </w:pPr>
            <w:r w:rsidRPr="00D70838">
              <w:rPr>
                <w:rFonts w:ascii="Calibri" w:eastAsia="Times New Roman" w:hAnsi="Calibri" w:cs="Calibri"/>
                <w:color w:val="000000"/>
                <w:kern w:val="0"/>
                <w:sz w:val="8"/>
                <w:szCs w:val="8"/>
                <w:lang w:val="en-CN" w:eastAsia="zh-CN"/>
              </w:rPr>
              <w:t> </w:t>
            </w:r>
          </w:p>
        </w:tc>
        <w:tc>
          <w:tcPr>
            <w:tcW w:w="1757" w:type="dxa"/>
            <w:tcBorders>
              <w:top w:val="nil"/>
              <w:left w:val="nil"/>
              <w:bottom w:val="single" w:sz="4" w:space="0" w:color="auto"/>
              <w:right w:val="nil"/>
            </w:tcBorders>
            <w:shd w:val="clear" w:color="auto" w:fill="auto"/>
            <w:noWrap/>
            <w:vAlign w:val="bottom"/>
            <w:hideMark/>
          </w:tcPr>
          <w:p w14:paraId="612D4DC1" w14:textId="77777777" w:rsidR="00A109F2" w:rsidRPr="00D70838" w:rsidRDefault="00A109F2" w:rsidP="00A109F2">
            <w:pPr>
              <w:spacing w:line="240" w:lineRule="auto"/>
              <w:ind w:firstLine="0"/>
              <w:rPr>
                <w:rFonts w:ascii="Calibri" w:eastAsia="Times New Roman" w:hAnsi="Calibri" w:cs="Calibri"/>
                <w:color w:val="000000"/>
                <w:kern w:val="0"/>
                <w:sz w:val="8"/>
                <w:szCs w:val="8"/>
                <w:lang w:val="en-CN" w:eastAsia="zh-CN"/>
              </w:rPr>
            </w:pPr>
            <w:r w:rsidRPr="00D70838">
              <w:rPr>
                <w:rFonts w:ascii="Calibri" w:eastAsia="Times New Roman" w:hAnsi="Calibri" w:cs="Calibri"/>
                <w:color w:val="000000"/>
                <w:kern w:val="0"/>
                <w:sz w:val="8"/>
                <w:szCs w:val="8"/>
                <w:lang w:val="en-CN" w:eastAsia="zh-CN"/>
              </w:rPr>
              <w:t> </w:t>
            </w:r>
          </w:p>
        </w:tc>
        <w:tc>
          <w:tcPr>
            <w:tcW w:w="1864" w:type="dxa"/>
            <w:tcBorders>
              <w:top w:val="nil"/>
              <w:left w:val="nil"/>
              <w:bottom w:val="single" w:sz="4" w:space="0" w:color="auto"/>
              <w:right w:val="nil"/>
            </w:tcBorders>
            <w:shd w:val="clear" w:color="auto" w:fill="auto"/>
            <w:noWrap/>
            <w:vAlign w:val="bottom"/>
            <w:hideMark/>
          </w:tcPr>
          <w:p w14:paraId="220CDEB9" w14:textId="77777777" w:rsidR="00A109F2" w:rsidRPr="00D70838" w:rsidRDefault="00A109F2" w:rsidP="00A109F2">
            <w:pPr>
              <w:spacing w:line="240" w:lineRule="auto"/>
              <w:ind w:firstLine="0"/>
              <w:rPr>
                <w:rFonts w:ascii="Calibri" w:eastAsia="Times New Roman" w:hAnsi="Calibri" w:cs="Calibri"/>
                <w:color w:val="000000"/>
                <w:kern w:val="0"/>
                <w:sz w:val="8"/>
                <w:szCs w:val="8"/>
                <w:lang w:val="en-CN" w:eastAsia="zh-CN"/>
              </w:rPr>
            </w:pPr>
            <w:r w:rsidRPr="00D70838">
              <w:rPr>
                <w:rFonts w:ascii="Calibri" w:eastAsia="Times New Roman" w:hAnsi="Calibri" w:cs="Calibri"/>
                <w:color w:val="000000"/>
                <w:kern w:val="0"/>
                <w:sz w:val="8"/>
                <w:szCs w:val="8"/>
                <w:lang w:val="en-CN" w:eastAsia="zh-CN"/>
              </w:rPr>
              <w:t> </w:t>
            </w:r>
          </w:p>
        </w:tc>
        <w:tc>
          <w:tcPr>
            <w:tcW w:w="1885" w:type="dxa"/>
            <w:tcBorders>
              <w:top w:val="nil"/>
              <w:left w:val="nil"/>
              <w:bottom w:val="single" w:sz="4" w:space="0" w:color="auto"/>
              <w:right w:val="nil"/>
            </w:tcBorders>
            <w:shd w:val="clear" w:color="auto" w:fill="auto"/>
            <w:noWrap/>
            <w:vAlign w:val="bottom"/>
            <w:hideMark/>
          </w:tcPr>
          <w:p w14:paraId="62C9317A" w14:textId="77777777" w:rsidR="00A109F2" w:rsidRPr="00D70838" w:rsidRDefault="00A109F2" w:rsidP="00A109F2">
            <w:pPr>
              <w:spacing w:line="240" w:lineRule="auto"/>
              <w:ind w:firstLine="0"/>
              <w:rPr>
                <w:rFonts w:ascii="Calibri" w:eastAsia="Times New Roman" w:hAnsi="Calibri" w:cs="Calibri"/>
                <w:color w:val="000000"/>
                <w:kern w:val="0"/>
                <w:sz w:val="8"/>
                <w:szCs w:val="8"/>
                <w:lang w:val="en-CN" w:eastAsia="zh-CN"/>
              </w:rPr>
            </w:pPr>
            <w:r w:rsidRPr="00D70838">
              <w:rPr>
                <w:rFonts w:ascii="Calibri" w:eastAsia="Times New Roman" w:hAnsi="Calibri" w:cs="Calibri"/>
                <w:color w:val="000000"/>
                <w:kern w:val="0"/>
                <w:sz w:val="8"/>
                <w:szCs w:val="8"/>
                <w:lang w:val="en-CN" w:eastAsia="zh-CN"/>
              </w:rPr>
              <w:t> </w:t>
            </w:r>
          </w:p>
        </w:tc>
      </w:tr>
    </w:tbl>
    <w:p w14:paraId="3F1C6C57" w14:textId="77777777" w:rsidR="00A109F2" w:rsidRPr="00E05BE6" w:rsidRDefault="00A109F2" w:rsidP="007E6DEB">
      <w:pPr>
        <w:spacing w:before="40" w:line="240" w:lineRule="auto"/>
        <w:ind w:firstLine="0"/>
        <w:rPr>
          <w:rFonts w:ascii="Times New Roman" w:eastAsia="Times New Roman" w:hAnsi="Times New Roman" w:cs="Times New Roman"/>
          <w:kern w:val="0"/>
          <w:sz w:val="20"/>
          <w:szCs w:val="20"/>
          <w:lang w:eastAsia="zh-CN"/>
        </w:rPr>
      </w:pPr>
      <w:r w:rsidRPr="00E05BE6">
        <w:rPr>
          <w:rFonts w:ascii="Times New Roman" w:eastAsia="Times New Roman" w:hAnsi="Times New Roman" w:cs="Times New Roman"/>
          <w:kern w:val="0"/>
          <w:sz w:val="20"/>
          <w:szCs w:val="20"/>
          <w:lang w:val="en-CN" w:eastAsia="zh-CN"/>
        </w:rPr>
        <w:t xml:space="preserve">Notes: </w:t>
      </w:r>
      <w:r w:rsidRPr="00E05BE6">
        <w:rPr>
          <w:rFonts w:ascii="Times New Roman" w:eastAsia="Times New Roman" w:hAnsi="Times New Roman" w:cs="Times New Roman"/>
          <w:kern w:val="0"/>
          <w:sz w:val="20"/>
          <w:szCs w:val="20"/>
          <w:lang w:eastAsia="zh-CN"/>
        </w:rPr>
        <w:t xml:space="preserve">Table 2 presents the Pearson correlation coefficients with significance level between IV (IV changes) and the price of SSE 50 ETF (returns) at daily, 30-min and 5-min frequencies. Period A is from March 2, 2015 to April 3, 2020. Period B is the sample period of this research, which ranges from January 2, 2018 to April 3, 2020. Period C is defined from February 11, 2019 to May 31, 2019 and period D is defined from February 3, 2020 to April 3, 2020. </w:t>
      </w:r>
    </w:p>
    <w:p w14:paraId="4075145B" w14:textId="2BF32E96" w:rsidR="00A109F2" w:rsidRPr="00A109F2" w:rsidRDefault="00A24459" w:rsidP="007E6DEB">
      <w:pPr>
        <w:spacing w:before="40" w:line="240" w:lineRule="auto"/>
        <w:ind w:firstLine="0"/>
        <w:rPr>
          <w:rFonts w:ascii="Times New Roman" w:eastAsia="Times New Roman" w:hAnsi="Times New Roman" w:cs="Times New Roman"/>
          <w:kern w:val="0"/>
          <w:sz w:val="21"/>
          <w:szCs w:val="21"/>
          <w:lang w:val="en-CN" w:eastAsia="zh-CN"/>
        </w:rPr>
      </w:pPr>
      <w:r w:rsidRPr="00E05BE6">
        <w:rPr>
          <w:rFonts w:ascii="Times New Roman" w:eastAsia="Times New Roman" w:hAnsi="Times New Roman" w:cs="Times New Roman"/>
          <w:kern w:val="0"/>
          <w:sz w:val="20"/>
          <w:szCs w:val="20"/>
          <w:lang w:eastAsia="zh-CN"/>
        </w:rPr>
        <w:t>R</w:t>
      </w:r>
      <w:r w:rsidR="00A109F2" w:rsidRPr="00E05BE6">
        <w:rPr>
          <w:rFonts w:ascii="Times New Roman" w:eastAsia="Times New Roman" w:hAnsi="Times New Roman" w:cs="Times New Roman"/>
          <w:kern w:val="0"/>
          <w:sz w:val="20"/>
          <w:szCs w:val="20"/>
          <w:lang w:eastAsia="zh-CN"/>
        </w:rPr>
        <w:t>eturn is calculated as logarithmic difference of prices of SSE 50 ETF; ***, ** and * denote the statistical significance at 1%, 5% and 10% levels respectively</w:t>
      </w:r>
      <w:r w:rsidR="00A109F2" w:rsidRPr="00A109F2">
        <w:rPr>
          <w:rFonts w:ascii="Times New Roman" w:eastAsia="Times New Roman" w:hAnsi="Times New Roman" w:cs="Times New Roman"/>
          <w:kern w:val="0"/>
          <w:sz w:val="21"/>
          <w:szCs w:val="21"/>
          <w:lang w:eastAsia="zh-CN"/>
        </w:rPr>
        <w:t>.</w:t>
      </w:r>
    </w:p>
    <w:p w14:paraId="3B260646" w14:textId="77777777" w:rsidR="000C1808" w:rsidRDefault="000C1808" w:rsidP="00587C34">
      <w:pPr>
        <w:spacing w:before="80" w:line="240" w:lineRule="auto"/>
        <w:rPr>
          <w:rFonts w:ascii="Times New Roman" w:eastAsia="Times New Roman" w:hAnsi="Times New Roman" w:cs="Times New Roman"/>
          <w:kern w:val="0"/>
          <w:lang w:eastAsia="zh-CN"/>
        </w:rPr>
      </w:pPr>
    </w:p>
    <w:p w14:paraId="6DDBC49E" w14:textId="154AA63A" w:rsidR="004557C1" w:rsidRDefault="00980707" w:rsidP="00EE3A92">
      <w:r w:rsidRPr="00980707">
        <w:t xml:space="preserve">With numerical analysis, I confirm that positive correlation between IV and price exists in period C (Subsample 1). As shown in Table 2, in period C, IV and price are positively </w:t>
      </w:r>
      <w:r w:rsidRPr="00980707">
        <w:lastRenderedPageBreak/>
        <w:t xml:space="preserve">correlation with a coefficient </w:t>
      </w:r>
      <w:r w:rsidR="00A54F4B">
        <w:t>greater than</w:t>
      </w:r>
      <w:r w:rsidRPr="00980707">
        <w:t xml:space="preserve"> 0.5 at the significance level of 1%, which can be observed in both daily and intraday data. This correlation coefficient is even larger when analyzing at higher frequencies. When market experiences great declines caused by the outbreak of COVID-19, as shown in period D, the correlation between IV and the underlying price appears significantly negative. The correlation coefficient of IV and price becomes -0.850, and that of IV changes and returns becomes -0.687. This is in line with previous research</w:t>
      </w:r>
      <w:r w:rsidR="00614456">
        <w:t xml:space="preserve"> that finds </w:t>
      </w:r>
      <w:r w:rsidRPr="00980707">
        <w:t>the price-IV correlation becom</w:t>
      </w:r>
      <w:r w:rsidR="00614456">
        <w:t>ing</w:t>
      </w:r>
      <w:r w:rsidRPr="00980707">
        <w:t xml:space="preserve"> negative during large price fluctuations and negative shocks (Li et al., 2019).  </w:t>
      </w:r>
    </w:p>
    <w:p w14:paraId="4859CC84" w14:textId="77777777" w:rsidR="002B2BDF" w:rsidRDefault="002B2BDF" w:rsidP="00EE3A92"/>
    <w:p w14:paraId="68A225BB" w14:textId="717AD602" w:rsidR="00344562" w:rsidRPr="00B224B8" w:rsidRDefault="002B2BDF" w:rsidP="002B2BDF">
      <w:pPr>
        <w:pStyle w:val="ListParagraph"/>
        <w:numPr>
          <w:ilvl w:val="0"/>
          <w:numId w:val="14"/>
        </w:numPr>
        <w:rPr>
          <w:b/>
          <w:bCs/>
        </w:rPr>
      </w:pPr>
      <w:r w:rsidRPr="00B224B8">
        <w:rPr>
          <w:b/>
          <w:bCs/>
        </w:rPr>
        <w:t>Predicting</w:t>
      </w:r>
      <w:r w:rsidR="0063256B" w:rsidRPr="00B224B8">
        <w:rPr>
          <w:b/>
          <w:bCs/>
        </w:rPr>
        <w:t xml:space="preserve"> realized volatility of SSE 50 ETF</w:t>
      </w:r>
      <w:r w:rsidRPr="00B224B8">
        <w:rPr>
          <w:b/>
          <w:bCs/>
        </w:rPr>
        <w:t xml:space="preserve"> using </w:t>
      </w:r>
      <w:r w:rsidR="0063256B" w:rsidRPr="00B224B8">
        <w:rPr>
          <w:b/>
          <w:bCs/>
        </w:rPr>
        <w:t>implied volatility</w:t>
      </w:r>
    </w:p>
    <w:p w14:paraId="0D979A45" w14:textId="0C060C5B" w:rsidR="00824A49" w:rsidRPr="00824A49" w:rsidRDefault="00587C34" w:rsidP="00824A49">
      <w:pPr>
        <w:rPr>
          <w:rFonts w:ascii="Times New Roman" w:eastAsia="Times New Roman" w:hAnsi="Times New Roman" w:cs="Times New Roman"/>
          <w:kern w:val="0"/>
          <w:lang w:eastAsia="zh-CN"/>
        </w:rPr>
      </w:pPr>
      <w:r w:rsidRPr="00587C34">
        <w:rPr>
          <w:rFonts w:ascii="Times New Roman" w:eastAsia="Times New Roman" w:hAnsi="Times New Roman" w:cs="Times New Roman"/>
          <w:kern w:val="0"/>
          <w:lang w:eastAsia="zh-CN"/>
        </w:rPr>
        <w:t xml:space="preserve">As IV is widely considered as market’s estimates of future volatility, I investigate the role of IV in predicting the future realized volatility of its underlying – SSE 50 ETF. </w:t>
      </w:r>
    </w:p>
    <w:p w14:paraId="087B5D20" w14:textId="3C48816C" w:rsidR="00453C7E" w:rsidRDefault="0048131C" w:rsidP="00BE5063">
      <w:pPr>
        <w:spacing w:before="80"/>
        <w:rPr>
          <w:color w:val="000000"/>
        </w:rPr>
      </w:pPr>
      <w:r w:rsidRPr="003000F1">
        <w:t>Table 3 reports the estimated results of the predictive regressions.</w:t>
      </w:r>
      <w:r>
        <w:t xml:space="preserve"> Implied volatility</w:t>
      </w:r>
      <w:r w:rsidRPr="003000F1">
        <w:t xml:space="preserve"> </w:t>
      </w:r>
      <m:oMath>
        <m:sSub>
          <m:sSubPr>
            <m:ctrlPr>
              <w:rPr>
                <w:rFonts w:ascii="Cambria Math" w:hAnsi="Cambria Math"/>
                <w:i/>
                <w:iCs/>
                <w:color w:val="212121"/>
              </w:rPr>
            </m:ctrlPr>
          </m:sSubPr>
          <m:e>
            <m:r>
              <w:rPr>
                <w:rFonts w:ascii="Cambria Math" w:hAnsi="Cambria Math"/>
                <w:color w:val="212121"/>
              </w:rPr>
              <m:t>IV</m:t>
            </m:r>
          </m:e>
          <m:sub>
            <m:r>
              <w:rPr>
                <w:rFonts w:ascii="Cambria Math" w:hAnsi="Cambria Math"/>
                <w:color w:val="212121"/>
              </w:rPr>
              <m:t>t-1</m:t>
            </m:r>
          </m:sub>
        </m:sSub>
      </m:oMath>
      <w:r w:rsidRPr="003000F1">
        <w:t xml:space="preserve"> proves to be a significant independent variable for </w:t>
      </w:r>
      <w:r w:rsidRPr="003B5E65">
        <w:rPr>
          <w:i/>
          <w:iCs/>
        </w:rPr>
        <w:t>RV</w:t>
      </w:r>
      <w:r w:rsidRPr="003B5E65">
        <w:rPr>
          <w:i/>
          <w:iCs/>
          <w:vertAlign w:val="subscript"/>
        </w:rPr>
        <w:t>t</w:t>
      </w:r>
      <w:r w:rsidRPr="003000F1">
        <w:t xml:space="preserve"> throughout the whole sample period, and during selected subsamples. </w:t>
      </w:r>
      <w:r w:rsidRPr="003000F1">
        <w:rPr>
          <w:color w:val="000000"/>
        </w:rPr>
        <w:t xml:space="preserve">When adding </w:t>
      </w:r>
      <m:oMath>
        <m:r>
          <w:rPr>
            <w:rFonts w:ascii="Cambria Math" w:hAnsi="Cambria Math"/>
            <w:color w:val="212121"/>
          </w:rPr>
          <m:t>R</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t-1</m:t>
            </m:r>
          </m:sub>
        </m:sSub>
        <m:r>
          <w:rPr>
            <w:rFonts w:ascii="Cambria Math" w:hAnsi="Cambria Math"/>
            <w:color w:val="212121"/>
          </w:rPr>
          <m:t xml:space="preserve"> </m:t>
        </m:r>
      </m:oMath>
      <w:r w:rsidRPr="003000F1">
        <w:rPr>
          <w:color w:val="000000"/>
        </w:rPr>
        <w:t>and lagged return or synchronous return as variables in the regression model, the adjusted R-squared</w:t>
      </w:r>
      <w:r>
        <w:rPr>
          <w:color w:val="000000"/>
        </w:rPr>
        <w:t xml:space="preserve"> is improved</w:t>
      </w:r>
      <w:r w:rsidRPr="003000F1">
        <w:rPr>
          <w:color w:val="000000"/>
        </w:rPr>
        <w:t>.</w:t>
      </w:r>
      <w:r>
        <w:rPr>
          <w:color w:val="000000"/>
        </w:rPr>
        <w:t xml:space="preserve"> Taking the full sample results as an example, in the regression using </w:t>
      </w:r>
      <m:oMath>
        <m:sSub>
          <m:sSubPr>
            <m:ctrlPr>
              <w:rPr>
                <w:rFonts w:ascii="Cambria Math" w:hAnsi="Cambria Math"/>
                <w:i/>
                <w:iCs/>
                <w:color w:val="212121"/>
              </w:rPr>
            </m:ctrlPr>
          </m:sSubPr>
          <m:e>
            <m:r>
              <w:rPr>
                <w:rFonts w:ascii="Cambria Math" w:hAnsi="Cambria Math"/>
                <w:color w:val="212121"/>
              </w:rPr>
              <m:t>IV</m:t>
            </m:r>
          </m:e>
          <m:sub>
            <m:r>
              <w:rPr>
                <w:rFonts w:ascii="Cambria Math" w:hAnsi="Cambria Math"/>
                <w:color w:val="212121"/>
              </w:rPr>
              <m:t>t-1</m:t>
            </m:r>
          </m:sub>
        </m:sSub>
      </m:oMath>
      <w:r>
        <w:rPr>
          <w:iCs/>
          <w:color w:val="212121"/>
        </w:rPr>
        <w:t xml:space="preserve">as a single variable, </w:t>
      </w:r>
      <w:r>
        <w:t xml:space="preserve">the adjusted R-squared is 0.5262 and its coefficient is 0.773. When </w:t>
      </w:r>
      <m:oMath>
        <m:r>
          <w:rPr>
            <w:rFonts w:ascii="Cambria Math" w:hAnsi="Cambria Math"/>
            <w:color w:val="212121"/>
          </w:rPr>
          <m:t>R</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t-1</m:t>
            </m:r>
          </m:sub>
        </m:sSub>
      </m:oMath>
      <w:r>
        <w:rPr>
          <w:iCs/>
          <w:color w:val="212121"/>
        </w:rPr>
        <w:t xml:space="preserve">is added to this benchmark predictive regression, the coefficient of </w:t>
      </w:r>
      <m:oMath>
        <m:r>
          <w:rPr>
            <w:rFonts w:ascii="Cambria Math" w:hAnsi="Cambria Math"/>
            <w:color w:val="212121"/>
          </w:rPr>
          <m:t>R</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t-1</m:t>
            </m:r>
          </m:sub>
        </m:sSub>
      </m:oMath>
      <w:r>
        <w:rPr>
          <w:iCs/>
          <w:color w:val="212121"/>
        </w:rPr>
        <w:t xml:space="preserve"> is 0.404 and that of </w:t>
      </w:r>
      <m:oMath>
        <m:sSub>
          <m:sSubPr>
            <m:ctrlPr>
              <w:rPr>
                <w:rFonts w:ascii="Cambria Math" w:hAnsi="Cambria Math"/>
                <w:i/>
                <w:iCs/>
                <w:color w:val="212121"/>
              </w:rPr>
            </m:ctrlPr>
          </m:sSubPr>
          <m:e>
            <m:r>
              <w:rPr>
                <w:rFonts w:ascii="Cambria Math" w:hAnsi="Cambria Math"/>
                <w:color w:val="212121"/>
              </w:rPr>
              <m:t>IV</m:t>
            </m:r>
          </m:e>
          <m:sub>
            <m:r>
              <w:rPr>
                <w:rFonts w:ascii="Cambria Math" w:hAnsi="Cambria Math"/>
                <w:color w:val="212121"/>
              </w:rPr>
              <m:t>t-1</m:t>
            </m:r>
          </m:sub>
        </m:sSub>
      </m:oMath>
      <w:r>
        <w:rPr>
          <w:iCs/>
          <w:color w:val="212121"/>
        </w:rPr>
        <w:t xml:space="preserve"> declines to 0.460. The value of adjusted R-squared of this multivariate regression increases to 0.6025. After adding lagged return </w:t>
      </w:r>
      <m:oMath>
        <m:sSub>
          <m:sSubPr>
            <m:ctrlPr>
              <w:rPr>
                <w:rFonts w:ascii="Cambria Math" w:hAnsi="Cambria Math"/>
                <w:i/>
                <w:color w:val="212121"/>
              </w:rPr>
            </m:ctrlPr>
          </m:sSubPr>
          <m:e>
            <m:r>
              <w:rPr>
                <w:rFonts w:ascii="Cambria Math" w:hAnsi="Cambria Math"/>
                <w:color w:val="212121"/>
              </w:rPr>
              <m:t>r</m:t>
            </m:r>
          </m:e>
          <m:sub>
            <m:r>
              <w:rPr>
                <w:rFonts w:ascii="Cambria Math" w:hAnsi="Cambria Math"/>
                <w:color w:val="212121"/>
              </w:rPr>
              <m:t>t-1</m:t>
            </m:r>
          </m:sub>
        </m:sSub>
      </m:oMath>
      <w:r>
        <w:rPr>
          <w:color w:val="212121"/>
        </w:rPr>
        <w:t xml:space="preserve"> to the regression model, the </w:t>
      </w:r>
      <w:r>
        <w:rPr>
          <w:iCs/>
          <w:color w:val="212121"/>
        </w:rPr>
        <w:t>adjusted R-squared</w:t>
      </w:r>
      <w:r>
        <w:rPr>
          <w:color w:val="212121"/>
        </w:rPr>
        <w:t xml:space="preserve"> is improved to 0.6225. Similar evidence can also be found in the regression for selected subsamples. </w:t>
      </w:r>
      <w:r w:rsidR="00453C7E">
        <w:rPr>
          <w:color w:val="212121"/>
        </w:rPr>
        <w:t xml:space="preserve">This indicates that these three variables, implied volatility, historical volatility, lagged return, which stands for the leverage effect, all contain </w:t>
      </w:r>
      <w:r w:rsidR="00453C7E">
        <w:rPr>
          <w:color w:val="212121"/>
        </w:rPr>
        <w:lastRenderedPageBreak/>
        <w:t xml:space="preserve">certain information for the realized volatility in next period. </w:t>
      </w:r>
      <w:r>
        <w:rPr>
          <w:color w:val="000000"/>
        </w:rPr>
        <w:t>Moreover, t</w:t>
      </w:r>
      <w:r w:rsidRPr="003000F1">
        <w:rPr>
          <w:color w:val="000000"/>
        </w:rPr>
        <w:t>he coefficient</w:t>
      </w:r>
      <w:r>
        <w:rPr>
          <w:color w:val="000000"/>
        </w:rPr>
        <w:t>s of</w:t>
      </w:r>
      <w:r w:rsidRPr="003000F1">
        <w:rPr>
          <w:color w:val="000000"/>
        </w:rPr>
        <w:t xml:space="preserve"> returns </w:t>
      </w:r>
      <w:r>
        <w:rPr>
          <w:color w:val="000000"/>
        </w:rPr>
        <w:t>in the predive regressions for</w:t>
      </w:r>
      <w:r w:rsidRPr="003000F1">
        <w:rPr>
          <w:color w:val="000000"/>
        </w:rPr>
        <w:t xml:space="preserve"> </w:t>
      </w:r>
      <w:r>
        <w:rPr>
          <w:color w:val="000000"/>
        </w:rPr>
        <w:t>period C and D</w:t>
      </w:r>
      <w:r w:rsidRPr="003000F1">
        <w:rPr>
          <w:color w:val="000000"/>
        </w:rPr>
        <w:t>, one being positive and one being negative, also corresponds to our previous correlation</w:t>
      </w:r>
      <w:r>
        <w:rPr>
          <w:color w:val="000000"/>
        </w:rPr>
        <w:t xml:space="preserve"> analysis. </w:t>
      </w:r>
    </w:p>
    <w:p w14:paraId="6E0041AE" w14:textId="77777777" w:rsidR="00587C34" w:rsidRPr="00587C34" w:rsidRDefault="00587C34" w:rsidP="0042393E">
      <w:pPr>
        <w:spacing w:before="160" w:after="80" w:line="240" w:lineRule="auto"/>
        <w:ind w:firstLine="0"/>
        <w:rPr>
          <w:rFonts w:ascii="Times New Roman" w:eastAsia="Times New Roman" w:hAnsi="Times New Roman" w:cs="Times New Roman"/>
          <w:kern w:val="0"/>
          <w:lang w:eastAsia="zh-CN"/>
        </w:rPr>
      </w:pPr>
      <w:r w:rsidRPr="00587C34">
        <w:rPr>
          <w:rFonts w:ascii="Times New Roman" w:eastAsia="Times New Roman" w:hAnsi="Times New Roman" w:cs="Times New Roman"/>
          <w:kern w:val="0"/>
          <w:lang w:eastAsia="zh-CN"/>
        </w:rPr>
        <w:t xml:space="preserve">Table 3 Predictive regressions for the future realized volatility </w:t>
      </w:r>
    </w:p>
    <w:tbl>
      <w:tblPr>
        <w:tblW w:w="8933" w:type="dxa"/>
        <w:tblCellMar>
          <w:left w:w="0" w:type="dxa"/>
          <w:right w:w="0" w:type="dxa"/>
        </w:tblCellMar>
        <w:tblLook w:val="04A0" w:firstRow="1" w:lastRow="0" w:firstColumn="1" w:lastColumn="0" w:noHBand="0" w:noVBand="1"/>
      </w:tblPr>
      <w:tblGrid>
        <w:gridCol w:w="1747"/>
        <w:gridCol w:w="1197"/>
        <w:gridCol w:w="1198"/>
        <w:gridCol w:w="1198"/>
        <w:gridCol w:w="1197"/>
        <w:gridCol w:w="1198"/>
        <w:gridCol w:w="1198"/>
      </w:tblGrid>
      <w:tr w:rsidR="00587C34" w:rsidRPr="00587C34" w14:paraId="07F8E5A4" w14:textId="77777777" w:rsidTr="001A6656">
        <w:trPr>
          <w:trHeight w:val="332"/>
        </w:trPr>
        <w:tc>
          <w:tcPr>
            <w:tcW w:w="1747"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1AE4A28E" w14:textId="77777777" w:rsidR="00587C34" w:rsidRPr="00587C34" w:rsidRDefault="00587C34" w:rsidP="00587C34">
            <w:pPr>
              <w:spacing w:before="80" w:line="240" w:lineRule="auto"/>
              <w:ind w:firstLine="0"/>
              <w:jc w:val="center"/>
              <w:rPr>
                <w:rFonts w:ascii="Times New Roman" w:eastAsia="Times New Roman" w:hAnsi="Times New Roman" w:cs="Times New Roman"/>
                <w:kern w:val="0"/>
                <w:lang w:val="en-CN" w:eastAsia="zh-CN"/>
              </w:rPr>
            </w:pPr>
          </w:p>
        </w:tc>
        <w:tc>
          <w:tcPr>
            <w:tcW w:w="1197"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503CDC41" w14:textId="77777777" w:rsidR="00587C34" w:rsidRPr="00587C34" w:rsidRDefault="00587C34" w:rsidP="00587C34">
            <w:pPr>
              <w:spacing w:before="80" w:line="240" w:lineRule="auto"/>
              <w:ind w:firstLine="0"/>
              <w:jc w:val="center"/>
              <w:rPr>
                <w:rFonts w:ascii="Times New Roman" w:eastAsia="Times New Roman" w:hAnsi="Times New Roman" w:cs="Times New Roman"/>
                <w:kern w:val="0"/>
                <w:lang w:val="en-CN" w:eastAsia="zh-CN"/>
              </w:rPr>
            </w:pPr>
            <w:r w:rsidRPr="00587C34">
              <w:rPr>
                <w:rFonts w:ascii="Times New Roman" w:eastAsia="Times New Roman" w:hAnsi="Times New Roman" w:cs="Times New Roman"/>
                <w:i/>
                <w:iCs/>
                <w:kern w:val="0"/>
                <w:lang w:val="en-CN" w:eastAsia="zh-CN"/>
              </w:rPr>
              <w:t>RV</w:t>
            </w:r>
            <w:r w:rsidRPr="00587C34">
              <w:rPr>
                <w:rFonts w:ascii="Times New Roman" w:eastAsia="Times New Roman" w:hAnsi="Times New Roman" w:cs="Times New Roman"/>
                <w:i/>
                <w:iCs/>
                <w:kern w:val="0"/>
                <w:vertAlign w:val="subscript"/>
                <w:lang w:val="en-CN" w:eastAsia="zh-CN"/>
              </w:rPr>
              <w:t>t</w:t>
            </w:r>
          </w:p>
        </w:tc>
        <w:tc>
          <w:tcPr>
            <w:tcW w:w="1198"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49DA8C12" w14:textId="77777777" w:rsidR="00587C34" w:rsidRPr="00587C34" w:rsidRDefault="00587C34" w:rsidP="00587C34">
            <w:pPr>
              <w:spacing w:before="80" w:line="240" w:lineRule="auto"/>
              <w:ind w:firstLine="0"/>
              <w:jc w:val="center"/>
              <w:rPr>
                <w:rFonts w:ascii="Times New Roman" w:eastAsia="Times New Roman" w:hAnsi="Times New Roman" w:cs="Times New Roman"/>
                <w:kern w:val="0"/>
                <w:lang w:val="en-CN" w:eastAsia="zh-CN"/>
              </w:rPr>
            </w:pPr>
            <w:r w:rsidRPr="00587C34">
              <w:rPr>
                <w:rFonts w:ascii="Times New Roman" w:eastAsia="Times New Roman" w:hAnsi="Times New Roman" w:cs="Times New Roman"/>
                <w:i/>
                <w:iCs/>
                <w:kern w:val="0"/>
                <w:lang w:val="en-CN" w:eastAsia="zh-CN"/>
              </w:rPr>
              <w:t>IV</w:t>
            </w:r>
            <w:r w:rsidRPr="00587C34">
              <w:rPr>
                <w:rFonts w:ascii="Times New Roman" w:eastAsia="Times New Roman" w:hAnsi="Times New Roman" w:cs="Times New Roman"/>
                <w:i/>
                <w:iCs/>
                <w:kern w:val="0"/>
                <w:vertAlign w:val="subscript"/>
                <w:lang w:val="en-CN" w:eastAsia="zh-CN"/>
              </w:rPr>
              <w:t>t</w:t>
            </w:r>
            <w:r w:rsidRPr="00587C34">
              <w:rPr>
                <w:rFonts w:ascii="Times New Roman" w:eastAsia="Times New Roman" w:hAnsi="Times New Roman" w:cs="Times New Roman"/>
                <w:i/>
                <w:iCs/>
                <w:kern w:val="0"/>
                <w:vertAlign w:val="subscript"/>
                <w:lang w:eastAsia="zh-CN"/>
              </w:rPr>
              <w:t>-1</w:t>
            </w:r>
          </w:p>
        </w:tc>
        <w:tc>
          <w:tcPr>
            <w:tcW w:w="1198"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603C5BF0" w14:textId="77777777" w:rsidR="00587C34" w:rsidRPr="00587C34" w:rsidRDefault="00587C34" w:rsidP="00587C34">
            <w:pPr>
              <w:spacing w:before="80" w:line="240" w:lineRule="auto"/>
              <w:ind w:firstLine="0"/>
              <w:jc w:val="center"/>
              <w:rPr>
                <w:rFonts w:ascii="Times New Roman" w:eastAsia="Times New Roman" w:hAnsi="Times New Roman" w:cs="Times New Roman"/>
                <w:kern w:val="0"/>
                <w:lang w:val="en-CN" w:eastAsia="zh-CN"/>
              </w:rPr>
            </w:pPr>
            <w:r w:rsidRPr="00587C34">
              <w:rPr>
                <w:rFonts w:ascii="Times New Roman" w:eastAsia="Times New Roman" w:hAnsi="Times New Roman" w:cs="Times New Roman"/>
                <w:i/>
                <w:iCs/>
                <w:kern w:val="0"/>
                <w:lang w:val="en-CN" w:eastAsia="zh-CN"/>
              </w:rPr>
              <w:t>RV</w:t>
            </w:r>
            <w:r w:rsidRPr="00587C34">
              <w:rPr>
                <w:rFonts w:ascii="Times New Roman" w:eastAsia="Times New Roman" w:hAnsi="Times New Roman" w:cs="Times New Roman"/>
                <w:i/>
                <w:iCs/>
                <w:kern w:val="0"/>
                <w:vertAlign w:val="subscript"/>
                <w:lang w:val="en-CN" w:eastAsia="zh-CN"/>
              </w:rPr>
              <w:t>t-1</w:t>
            </w:r>
          </w:p>
        </w:tc>
        <w:tc>
          <w:tcPr>
            <w:tcW w:w="1197"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069FF862" w14:textId="77777777" w:rsidR="00587C34" w:rsidRPr="00587C34" w:rsidRDefault="00587C34" w:rsidP="00587C34">
            <w:pPr>
              <w:spacing w:before="80" w:line="240" w:lineRule="auto"/>
              <w:ind w:firstLine="0"/>
              <w:jc w:val="center"/>
              <w:rPr>
                <w:rFonts w:ascii="Times New Roman" w:eastAsia="Times New Roman" w:hAnsi="Times New Roman" w:cs="Times New Roman"/>
                <w:kern w:val="0"/>
                <w:lang w:val="en-CN" w:eastAsia="zh-CN"/>
              </w:rPr>
            </w:pPr>
            <w:r w:rsidRPr="00587C34">
              <w:rPr>
                <w:rFonts w:ascii="Times New Roman" w:eastAsia="Times New Roman" w:hAnsi="Times New Roman" w:cs="Times New Roman"/>
                <w:i/>
                <w:iCs/>
                <w:kern w:val="0"/>
                <w:lang w:val="en-CN" w:eastAsia="zh-CN"/>
              </w:rPr>
              <w:t>r</w:t>
            </w:r>
            <w:r w:rsidRPr="00587C34">
              <w:rPr>
                <w:rFonts w:ascii="Times New Roman" w:eastAsia="Times New Roman" w:hAnsi="Times New Roman" w:cs="Times New Roman"/>
                <w:i/>
                <w:iCs/>
                <w:kern w:val="0"/>
                <w:vertAlign w:val="subscript"/>
                <w:lang w:val="en-CN" w:eastAsia="zh-CN"/>
              </w:rPr>
              <w:t>t-1</w:t>
            </w:r>
          </w:p>
        </w:tc>
        <w:tc>
          <w:tcPr>
            <w:tcW w:w="1198"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4208742F" w14:textId="77777777" w:rsidR="00587C34" w:rsidRPr="00587C34" w:rsidRDefault="00587C34" w:rsidP="00587C34">
            <w:pPr>
              <w:spacing w:before="80" w:line="240" w:lineRule="auto"/>
              <w:ind w:firstLine="0"/>
              <w:jc w:val="center"/>
              <w:rPr>
                <w:rFonts w:ascii="Times New Roman" w:eastAsia="Times New Roman" w:hAnsi="Times New Roman" w:cs="Times New Roman"/>
                <w:kern w:val="0"/>
                <w:lang w:val="en-CN" w:eastAsia="zh-CN"/>
              </w:rPr>
            </w:pPr>
            <w:r w:rsidRPr="00587C34">
              <w:rPr>
                <w:rFonts w:ascii="Times New Roman" w:eastAsia="Times New Roman" w:hAnsi="Times New Roman" w:cs="Times New Roman"/>
                <w:i/>
                <w:iCs/>
                <w:kern w:val="0"/>
                <w:lang w:val="en-CN" w:eastAsia="zh-CN"/>
              </w:rPr>
              <w:t>r</w:t>
            </w:r>
            <w:r w:rsidRPr="00587C34">
              <w:rPr>
                <w:rFonts w:ascii="Times New Roman" w:eastAsia="Times New Roman" w:hAnsi="Times New Roman" w:cs="Times New Roman"/>
                <w:i/>
                <w:iCs/>
                <w:kern w:val="0"/>
                <w:vertAlign w:val="subscript"/>
                <w:lang w:val="en-CN" w:eastAsia="zh-CN"/>
              </w:rPr>
              <w:t>t</w:t>
            </w:r>
          </w:p>
        </w:tc>
        <w:tc>
          <w:tcPr>
            <w:tcW w:w="1198"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595E0BD6" w14:textId="77777777" w:rsidR="00587C34" w:rsidRPr="00587C34" w:rsidRDefault="00587C34" w:rsidP="00587C34">
            <w:pPr>
              <w:spacing w:before="80" w:line="240" w:lineRule="auto"/>
              <w:ind w:firstLine="0"/>
              <w:jc w:val="center"/>
              <w:rPr>
                <w:rFonts w:ascii="Times New Roman" w:eastAsia="Times New Roman" w:hAnsi="Times New Roman" w:cs="Times New Roman"/>
                <w:kern w:val="0"/>
                <w:lang w:val="en-CN" w:eastAsia="zh-CN"/>
              </w:rPr>
            </w:pPr>
            <w:r w:rsidRPr="00587C34">
              <w:rPr>
                <w:rFonts w:ascii="Times New Roman" w:eastAsia="Times New Roman" w:hAnsi="Times New Roman" w:cs="Times New Roman"/>
                <w:i/>
                <w:iCs/>
                <w:kern w:val="0"/>
                <w:lang w:val="en-CN" w:eastAsia="zh-CN"/>
              </w:rPr>
              <w:t>Adj. R</w:t>
            </w:r>
            <w:r w:rsidRPr="00587C34">
              <w:rPr>
                <w:rFonts w:ascii="Times New Roman" w:eastAsia="Times New Roman" w:hAnsi="Times New Roman" w:cs="Times New Roman"/>
                <w:i/>
                <w:iCs/>
                <w:kern w:val="0"/>
                <w:vertAlign w:val="superscript"/>
                <w:lang w:val="en-CN" w:eastAsia="zh-CN"/>
              </w:rPr>
              <w:t>2</w:t>
            </w:r>
          </w:p>
        </w:tc>
      </w:tr>
      <w:tr w:rsidR="00587C34" w:rsidRPr="00587C34" w14:paraId="175CA8CA" w14:textId="77777777" w:rsidTr="001A6656">
        <w:trPr>
          <w:trHeight w:val="265"/>
        </w:trPr>
        <w:tc>
          <w:tcPr>
            <w:tcW w:w="1747" w:type="dxa"/>
            <w:tcBorders>
              <w:top w:val="single" w:sz="4" w:space="0" w:color="auto"/>
              <w:left w:val="nil"/>
              <w:bottom w:val="nil"/>
              <w:right w:val="nil"/>
            </w:tcBorders>
            <w:shd w:val="clear" w:color="auto" w:fill="auto"/>
            <w:tcMar>
              <w:top w:w="15" w:type="dxa"/>
              <w:left w:w="73" w:type="dxa"/>
              <w:bottom w:w="0" w:type="dxa"/>
              <w:right w:w="73" w:type="dxa"/>
            </w:tcMar>
            <w:hideMark/>
          </w:tcPr>
          <w:p w14:paraId="728E7055"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 xml:space="preserve">Full Sample </w:t>
            </w:r>
          </w:p>
        </w:tc>
        <w:tc>
          <w:tcPr>
            <w:tcW w:w="1197" w:type="dxa"/>
            <w:tcBorders>
              <w:top w:val="single" w:sz="4" w:space="0" w:color="auto"/>
              <w:left w:val="nil"/>
              <w:bottom w:val="nil"/>
              <w:right w:val="nil"/>
            </w:tcBorders>
            <w:shd w:val="clear" w:color="auto" w:fill="auto"/>
            <w:tcMar>
              <w:top w:w="15" w:type="dxa"/>
              <w:left w:w="73" w:type="dxa"/>
              <w:bottom w:w="0" w:type="dxa"/>
              <w:right w:w="73" w:type="dxa"/>
            </w:tcMar>
            <w:hideMark/>
          </w:tcPr>
          <w:p w14:paraId="5D787014"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4" w:space="0" w:color="auto"/>
              <w:left w:val="nil"/>
              <w:bottom w:val="nil"/>
              <w:right w:val="nil"/>
            </w:tcBorders>
            <w:shd w:val="clear" w:color="auto" w:fill="auto"/>
            <w:tcMar>
              <w:top w:w="15" w:type="dxa"/>
              <w:left w:w="108" w:type="dxa"/>
              <w:bottom w:w="0" w:type="dxa"/>
              <w:right w:w="108" w:type="dxa"/>
            </w:tcMar>
            <w:hideMark/>
          </w:tcPr>
          <w:p w14:paraId="70708B33"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0.773***</w:t>
            </w:r>
          </w:p>
        </w:tc>
        <w:tc>
          <w:tcPr>
            <w:tcW w:w="1198" w:type="dxa"/>
            <w:tcBorders>
              <w:top w:val="single" w:sz="4" w:space="0" w:color="auto"/>
              <w:left w:val="nil"/>
              <w:bottom w:val="nil"/>
              <w:right w:val="nil"/>
            </w:tcBorders>
            <w:shd w:val="clear" w:color="auto" w:fill="auto"/>
            <w:tcMar>
              <w:top w:w="15" w:type="dxa"/>
              <w:left w:w="108" w:type="dxa"/>
              <w:bottom w:w="0" w:type="dxa"/>
              <w:right w:w="108" w:type="dxa"/>
            </w:tcMar>
            <w:hideMark/>
          </w:tcPr>
          <w:p w14:paraId="28991EDC"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7" w:type="dxa"/>
            <w:tcBorders>
              <w:top w:val="single" w:sz="4" w:space="0" w:color="auto"/>
              <w:left w:val="nil"/>
              <w:bottom w:val="nil"/>
              <w:right w:val="nil"/>
            </w:tcBorders>
            <w:shd w:val="clear" w:color="auto" w:fill="auto"/>
            <w:tcMar>
              <w:top w:w="15" w:type="dxa"/>
              <w:left w:w="108" w:type="dxa"/>
              <w:bottom w:w="0" w:type="dxa"/>
              <w:right w:w="108" w:type="dxa"/>
            </w:tcMar>
            <w:hideMark/>
          </w:tcPr>
          <w:p w14:paraId="1541B72A"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4" w:space="0" w:color="auto"/>
              <w:left w:val="nil"/>
              <w:bottom w:val="nil"/>
              <w:right w:val="nil"/>
            </w:tcBorders>
            <w:shd w:val="clear" w:color="auto" w:fill="auto"/>
            <w:tcMar>
              <w:top w:w="15" w:type="dxa"/>
              <w:left w:w="108" w:type="dxa"/>
              <w:bottom w:w="0" w:type="dxa"/>
              <w:right w:w="108" w:type="dxa"/>
            </w:tcMar>
            <w:hideMark/>
          </w:tcPr>
          <w:p w14:paraId="151C868D"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4" w:space="0" w:color="auto"/>
              <w:left w:val="nil"/>
              <w:bottom w:val="nil"/>
              <w:right w:val="nil"/>
            </w:tcBorders>
            <w:shd w:val="clear" w:color="auto" w:fill="auto"/>
            <w:tcMar>
              <w:top w:w="15" w:type="dxa"/>
              <w:left w:w="108" w:type="dxa"/>
              <w:bottom w:w="0" w:type="dxa"/>
              <w:right w:w="108" w:type="dxa"/>
            </w:tcMar>
            <w:hideMark/>
          </w:tcPr>
          <w:p w14:paraId="02627CDC"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0.5262</w:t>
            </w:r>
          </w:p>
        </w:tc>
      </w:tr>
      <w:tr w:rsidR="00587C34" w:rsidRPr="00587C34" w14:paraId="01B0704A"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58C40EF2"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747E4848"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2BA7E15A"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(24.647)</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627D0273"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70D3DDED"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0AF5B95F"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0FD53720"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r>
      <w:tr w:rsidR="00587C34" w:rsidRPr="00587C34" w14:paraId="59302389"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68D07A0F"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20E76D9E"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6964FA8C"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0.460***</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61ECB6E2"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0.40</w:t>
            </w:r>
            <w:r w:rsidRPr="00587C34">
              <w:rPr>
                <w:rFonts w:ascii="Times New Roman" w:eastAsia="Times New Roman" w:hAnsi="Times New Roman" w:cs="Times New Roman"/>
                <w:kern w:val="0"/>
                <w:lang w:eastAsia="zh-CN"/>
              </w:rPr>
              <w:t>4</w:t>
            </w:r>
            <w:r w:rsidRPr="00587C34">
              <w:rPr>
                <w:rFonts w:ascii="Times New Roman" w:eastAsia="Times New Roman" w:hAnsi="Times New Roman" w:cs="Times New Roman"/>
                <w:kern w:val="0"/>
                <w:lang w:val="en-CN" w:eastAsia="zh-CN"/>
              </w:rPr>
              <w:t>***</w:t>
            </w:r>
          </w:p>
        </w:tc>
        <w:tc>
          <w:tcPr>
            <w:tcW w:w="1197"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5130D6C4"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59ABEECC"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33F500E5"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0.6025</w:t>
            </w:r>
          </w:p>
        </w:tc>
      </w:tr>
      <w:tr w:rsidR="00587C34" w:rsidRPr="00587C34" w14:paraId="1322D0AD"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26D03083"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1BE1E117"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384FE7B"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(10.996)</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60238754"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(10.277)</w:t>
            </w:r>
          </w:p>
        </w:tc>
        <w:tc>
          <w:tcPr>
            <w:tcW w:w="1197"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E0B88C4"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2B8AAC95"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020BA0C1"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r>
      <w:tr w:rsidR="00587C34" w:rsidRPr="00587C34" w14:paraId="79AAC3B6"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39AC380B"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1EEEDB82"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4C67D814"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0.44</w:t>
            </w:r>
            <w:r w:rsidRPr="00587C34">
              <w:rPr>
                <w:rFonts w:ascii="Times New Roman" w:eastAsia="Times New Roman" w:hAnsi="Times New Roman" w:cs="Times New Roman"/>
                <w:kern w:val="0"/>
                <w:lang w:eastAsia="zh-CN"/>
              </w:rPr>
              <w:t>5</w:t>
            </w:r>
            <w:r w:rsidRPr="00587C34">
              <w:rPr>
                <w:rFonts w:ascii="Times New Roman" w:eastAsia="Times New Roman" w:hAnsi="Times New Roman" w:cs="Times New Roman"/>
                <w:kern w:val="0"/>
                <w:lang w:val="en-CN" w:eastAsia="zh-CN"/>
              </w:rPr>
              <w:t>***</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46D9468A"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0.407***</w:t>
            </w:r>
          </w:p>
        </w:tc>
        <w:tc>
          <w:tcPr>
            <w:tcW w:w="1197"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1873FCB8"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-0.582***</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34B2D77E"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4C01BC89"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0.6225</w:t>
            </w:r>
          </w:p>
        </w:tc>
      </w:tr>
      <w:tr w:rsidR="00587C34" w:rsidRPr="00587C34" w14:paraId="423B220C" w14:textId="77777777" w:rsidTr="001A6656">
        <w:trPr>
          <w:trHeight w:val="265"/>
        </w:trPr>
        <w:tc>
          <w:tcPr>
            <w:tcW w:w="1747" w:type="dxa"/>
            <w:tcBorders>
              <w:top w:val="nil"/>
              <w:left w:val="nil"/>
              <w:bottom w:val="single" w:sz="8" w:space="0" w:color="263248"/>
              <w:right w:val="nil"/>
            </w:tcBorders>
            <w:shd w:val="clear" w:color="auto" w:fill="auto"/>
            <w:tcMar>
              <w:top w:w="15" w:type="dxa"/>
              <w:left w:w="73" w:type="dxa"/>
              <w:bottom w:w="0" w:type="dxa"/>
              <w:right w:w="73" w:type="dxa"/>
            </w:tcMar>
            <w:hideMark/>
          </w:tcPr>
          <w:p w14:paraId="27230532"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single" w:sz="8" w:space="0" w:color="263248"/>
              <w:right w:val="nil"/>
            </w:tcBorders>
            <w:shd w:val="clear" w:color="auto" w:fill="auto"/>
            <w:tcMar>
              <w:top w:w="15" w:type="dxa"/>
              <w:left w:w="73" w:type="dxa"/>
              <w:bottom w:w="0" w:type="dxa"/>
              <w:right w:w="73" w:type="dxa"/>
            </w:tcMar>
            <w:hideMark/>
          </w:tcPr>
          <w:p w14:paraId="058B0E2F"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2ABCB55"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(10.841)</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53A466CD"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(10.631)</w:t>
            </w:r>
          </w:p>
        </w:tc>
        <w:tc>
          <w:tcPr>
            <w:tcW w:w="1197"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6508A807"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(-5.471)</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1823016B"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11FA166E"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r>
      <w:tr w:rsidR="00587C34" w:rsidRPr="00587C34" w14:paraId="1F0D1365" w14:textId="77777777" w:rsidTr="00824A49">
        <w:trPr>
          <w:trHeight w:val="265"/>
        </w:trPr>
        <w:tc>
          <w:tcPr>
            <w:tcW w:w="1747" w:type="dxa"/>
            <w:tcBorders>
              <w:top w:val="single" w:sz="8" w:space="0" w:color="263248"/>
              <w:left w:val="nil"/>
              <w:bottom w:val="nil"/>
              <w:right w:val="nil"/>
            </w:tcBorders>
            <w:shd w:val="clear" w:color="auto" w:fill="auto"/>
            <w:tcMar>
              <w:top w:w="15" w:type="dxa"/>
              <w:left w:w="73" w:type="dxa"/>
              <w:bottom w:w="0" w:type="dxa"/>
              <w:right w:w="73" w:type="dxa"/>
            </w:tcMar>
          </w:tcPr>
          <w:p w14:paraId="71960704" w14:textId="2D1DD49C" w:rsidR="00587C34" w:rsidRPr="00824A49" w:rsidRDefault="00824A49" w:rsidP="00587C34">
            <w:pPr>
              <w:spacing w:before="80" w:line="240" w:lineRule="auto"/>
              <w:ind w:firstLine="0"/>
              <w:rPr>
                <w:rFonts w:ascii="Times New Roman" w:eastAsia="Times New Roman" w:hAnsi="Times New Roman" w:cs="Times New Roman"/>
                <w:kern w:val="0"/>
                <w:lang w:eastAsia="zh-CN"/>
              </w:rPr>
            </w:pPr>
            <w:r w:rsidRPr="00587C34">
              <w:rPr>
                <w:rFonts w:ascii="Times New Roman" w:eastAsia="Times New Roman" w:hAnsi="Times New Roman" w:cs="Times New Roman"/>
                <w:kern w:val="0"/>
                <w:lang w:val="en-CN" w:eastAsia="zh-CN"/>
              </w:rPr>
              <w:t>19/02/</w:t>
            </w:r>
            <w:r w:rsidRPr="00587C34">
              <w:rPr>
                <w:rFonts w:ascii="Times New Roman" w:eastAsia="Times New Roman" w:hAnsi="Times New Roman" w:cs="Times New Roman"/>
                <w:kern w:val="0"/>
                <w:lang w:eastAsia="zh-CN"/>
              </w:rPr>
              <w:t>-</w:t>
            </w:r>
            <w:r w:rsidRPr="00587C34">
              <w:rPr>
                <w:rFonts w:ascii="Times New Roman" w:eastAsia="Times New Roman" w:hAnsi="Times New Roman" w:cs="Times New Roman"/>
                <w:kern w:val="0"/>
                <w:lang w:val="en-CN" w:eastAsia="zh-CN"/>
              </w:rPr>
              <w:t>19/05</w:t>
            </w:r>
          </w:p>
        </w:tc>
        <w:tc>
          <w:tcPr>
            <w:tcW w:w="1197" w:type="dxa"/>
            <w:tcBorders>
              <w:top w:val="single" w:sz="8" w:space="0" w:color="263248"/>
              <w:left w:val="nil"/>
              <w:bottom w:val="nil"/>
              <w:right w:val="nil"/>
            </w:tcBorders>
            <w:shd w:val="clear" w:color="auto" w:fill="auto"/>
            <w:tcMar>
              <w:top w:w="15" w:type="dxa"/>
              <w:left w:w="73" w:type="dxa"/>
              <w:bottom w:w="0" w:type="dxa"/>
              <w:right w:w="73" w:type="dxa"/>
            </w:tcMar>
            <w:hideMark/>
          </w:tcPr>
          <w:p w14:paraId="23980A6F"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1AD5000B"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0.91</w:t>
            </w:r>
            <w:r w:rsidRPr="00587C34">
              <w:rPr>
                <w:rFonts w:ascii="Times New Roman" w:eastAsia="Times New Roman" w:hAnsi="Times New Roman" w:cs="Times New Roman"/>
                <w:kern w:val="0"/>
                <w:lang w:eastAsia="zh-CN"/>
              </w:rPr>
              <w:t>9</w:t>
            </w:r>
            <w:r w:rsidRPr="00587C34">
              <w:rPr>
                <w:rFonts w:ascii="Times New Roman" w:eastAsia="Times New Roman" w:hAnsi="Times New Roman" w:cs="Times New Roman"/>
                <w:kern w:val="0"/>
                <w:lang w:val="en-CN" w:eastAsia="zh-CN"/>
              </w:rPr>
              <w:t>***</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786F76EA"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7"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6731F5CD"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2AFB0FD"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29258286" w14:textId="77777777" w:rsidR="00587C34" w:rsidRPr="00587C34" w:rsidRDefault="00587C34" w:rsidP="00587C34">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0.3774</w:t>
            </w:r>
          </w:p>
        </w:tc>
      </w:tr>
      <w:tr w:rsidR="00824A49" w:rsidRPr="00587C34" w14:paraId="6E35B479" w14:textId="77777777" w:rsidTr="00824A49">
        <w:trPr>
          <w:trHeight w:val="265"/>
        </w:trPr>
        <w:tc>
          <w:tcPr>
            <w:tcW w:w="1747" w:type="dxa"/>
            <w:tcBorders>
              <w:top w:val="nil"/>
              <w:left w:val="nil"/>
              <w:bottom w:val="nil"/>
              <w:right w:val="nil"/>
            </w:tcBorders>
            <w:shd w:val="clear" w:color="auto" w:fill="auto"/>
            <w:tcMar>
              <w:top w:w="15" w:type="dxa"/>
              <w:left w:w="73" w:type="dxa"/>
              <w:bottom w:w="0" w:type="dxa"/>
              <w:right w:w="73" w:type="dxa"/>
            </w:tcMar>
          </w:tcPr>
          <w:p w14:paraId="53ADC376" w14:textId="3FD6C3AF" w:rsidR="00824A49" w:rsidRPr="00824A49" w:rsidRDefault="00824A49" w:rsidP="00824A49">
            <w:pPr>
              <w:spacing w:before="80" w:line="240" w:lineRule="auto"/>
              <w:ind w:firstLine="0"/>
              <w:rPr>
                <w:rFonts w:ascii="Times New Roman" w:eastAsia="Times New Roman" w:hAnsi="Times New Roman" w:cs="Times New Roman"/>
                <w:kern w:val="0"/>
                <w:lang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4C30616E"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77169173"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(6.772)</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37D6D679"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7EEB6CC"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2BE79DF5"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6FA37E6B"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r>
      <w:tr w:rsidR="00824A49" w:rsidRPr="00587C34" w14:paraId="21771D4D"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1D596B7D"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0A7D52AF"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4D9C6DD"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0.801***</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31AEC41C"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0.126</w:t>
            </w:r>
          </w:p>
        </w:tc>
        <w:tc>
          <w:tcPr>
            <w:tcW w:w="1197"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18A62603"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390D11A3"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456A7E2B"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0.3792</w:t>
            </w:r>
          </w:p>
        </w:tc>
      </w:tr>
      <w:tr w:rsidR="00824A49" w:rsidRPr="00587C34" w14:paraId="134970E6"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71ABD91A"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68B4BB3F"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78804304"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(4.652)</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6B97D634"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(1.097)</w:t>
            </w:r>
          </w:p>
        </w:tc>
        <w:tc>
          <w:tcPr>
            <w:tcW w:w="1197"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3B017C81"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3124531"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2EF54AF5"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r>
      <w:tr w:rsidR="00824A49" w:rsidRPr="00587C34" w14:paraId="23CAE787"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037CDD82"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684A6F4F"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A9D148D"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0.850***</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472A1973"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0.104</w:t>
            </w:r>
          </w:p>
        </w:tc>
        <w:tc>
          <w:tcPr>
            <w:tcW w:w="1197"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351F1B68"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56B3B54"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0.567*</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7DCFB11F"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0.404</w:t>
            </w:r>
            <w:r w:rsidRPr="00587C34">
              <w:rPr>
                <w:rFonts w:ascii="Times New Roman" w:eastAsia="Times New Roman" w:hAnsi="Times New Roman" w:cs="Times New Roman"/>
                <w:kern w:val="0"/>
                <w:lang w:eastAsia="zh-CN"/>
              </w:rPr>
              <w:t>0</w:t>
            </w:r>
          </w:p>
        </w:tc>
      </w:tr>
      <w:tr w:rsidR="00824A49" w:rsidRPr="00587C34" w14:paraId="35FBB199" w14:textId="77777777" w:rsidTr="001A6656">
        <w:trPr>
          <w:trHeight w:val="265"/>
        </w:trPr>
        <w:tc>
          <w:tcPr>
            <w:tcW w:w="1747" w:type="dxa"/>
            <w:tcBorders>
              <w:top w:val="nil"/>
              <w:left w:val="nil"/>
              <w:bottom w:val="single" w:sz="8" w:space="0" w:color="263248"/>
              <w:right w:val="nil"/>
            </w:tcBorders>
            <w:shd w:val="clear" w:color="auto" w:fill="auto"/>
            <w:tcMar>
              <w:top w:w="15" w:type="dxa"/>
              <w:left w:w="73" w:type="dxa"/>
              <w:bottom w:w="0" w:type="dxa"/>
              <w:right w:w="73" w:type="dxa"/>
            </w:tcMar>
            <w:hideMark/>
          </w:tcPr>
          <w:p w14:paraId="3A20E3DC"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single" w:sz="8" w:space="0" w:color="263248"/>
              <w:right w:val="nil"/>
            </w:tcBorders>
            <w:shd w:val="clear" w:color="auto" w:fill="auto"/>
            <w:tcMar>
              <w:top w:w="15" w:type="dxa"/>
              <w:left w:w="73" w:type="dxa"/>
              <w:bottom w:w="0" w:type="dxa"/>
              <w:right w:w="73" w:type="dxa"/>
            </w:tcMar>
            <w:hideMark/>
          </w:tcPr>
          <w:p w14:paraId="1AD24325"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0F669C37"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(4.987)</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6E839F2D"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(0.92</w:t>
            </w:r>
            <w:r w:rsidRPr="00587C34">
              <w:rPr>
                <w:rFonts w:ascii="Times New Roman" w:eastAsia="Times New Roman" w:hAnsi="Times New Roman" w:cs="Times New Roman"/>
                <w:kern w:val="0"/>
                <w:lang w:eastAsia="zh-CN"/>
              </w:rPr>
              <w:t>0</w:t>
            </w:r>
            <w:r w:rsidRPr="00587C34">
              <w:rPr>
                <w:rFonts w:ascii="Times New Roman" w:eastAsia="Times New Roman" w:hAnsi="Times New Roman" w:cs="Times New Roman"/>
                <w:kern w:val="0"/>
                <w:lang w:val="en-CN" w:eastAsia="zh-CN"/>
              </w:rPr>
              <w:t>)</w:t>
            </w:r>
          </w:p>
        </w:tc>
        <w:tc>
          <w:tcPr>
            <w:tcW w:w="1197"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A7E8033"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7209124B"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(2.000)</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610FCB6B"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r>
      <w:tr w:rsidR="00824A49" w:rsidRPr="00587C34" w14:paraId="20F15507" w14:textId="77777777" w:rsidTr="001A6656">
        <w:trPr>
          <w:trHeight w:val="265"/>
        </w:trPr>
        <w:tc>
          <w:tcPr>
            <w:tcW w:w="1747" w:type="dxa"/>
            <w:tcBorders>
              <w:top w:val="single" w:sz="8" w:space="0" w:color="263248"/>
              <w:left w:val="nil"/>
              <w:bottom w:val="nil"/>
              <w:right w:val="nil"/>
            </w:tcBorders>
            <w:shd w:val="clear" w:color="auto" w:fill="auto"/>
            <w:tcMar>
              <w:top w:w="15" w:type="dxa"/>
              <w:left w:w="73" w:type="dxa"/>
              <w:bottom w:w="0" w:type="dxa"/>
              <w:right w:w="73" w:type="dxa"/>
            </w:tcMar>
            <w:hideMark/>
          </w:tcPr>
          <w:p w14:paraId="13D8F960" w14:textId="68917703" w:rsidR="00824A49" w:rsidRPr="00824A49" w:rsidRDefault="00824A49" w:rsidP="00824A49">
            <w:pPr>
              <w:spacing w:before="80" w:line="240" w:lineRule="auto"/>
              <w:ind w:firstLine="0"/>
              <w:rPr>
                <w:rFonts w:ascii="Times New Roman" w:eastAsia="Times New Roman" w:hAnsi="Times New Roman" w:cs="Times New Roman"/>
                <w:kern w:val="0"/>
                <w:lang w:eastAsia="zh-CN"/>
              </w:rPr>
            </w:pPr>
            <w:r w:rsidRPr="00587C34">
              <w:rPr>
                <w:rFonts w:ascii="Times New Roman" w:eastAsia="Times New Roman" w:hAnsi="Times New Roman" w:cs="Times New Roman"/>
                <w:kern w:val="0"/>
                <w:lang w:val="en-CN" w:eastAsia="zh-CN"/>
              </w:rPr>
              <w:t>20/02/</w:t>
            </w:r>
            <w:r w:rsidRPr="00587C34">
              <w:rPr>
                <w:rFonts w:ascii="Times New Roman" w:eastAsia="Times New Roman" w:hAnsi="Times New Roman" w:cs="Times New Roman"/>
                <w:kern w:val="0"/>
                <w:lang w:eastAsia="zh-CN"/>
              </w:rPr>
              <w:t>-</w:t>
            </w:r>
            <w:r w:rsidRPr="00587C34">
              <w:rPr>
                <w:rFonts w:ascii="Times New Roman" w:eastAsia="Times New Roman" w:hAnsi="Times New Roman" w:cs="Times New Roman"/>
                <w:kern w:val="0"/>
                <w:lang w:val="en-CN" w:eastAsia="zh-CN"/>
              </w:rPr>
              <w:t>20/04</w:t>
            </w:r>
          </w:p>
        </w:tc>
        <w:tc>
          <w:tcPr>
            <w:tcW w:w="1197" w:type="dxa"/>
            <w:tcBorders>
              <w:top w:val="single" w:sz="8" w:space="0" w:color="263248"/>
              <w:left w:val="nil"/>
              <w:bottom w:val="nil"/>
              <w:right w:val="nil"/>
            </w:tcBorders>
            <w:shd w:val="clear" w:color="auto" w:fill="auto"/>
            <w:tcMar>
              <w:top w:w="15" w:type="dxa"/>
              <w:left w:w="73" w:type="dxa"/>
              <w:bottom w:w="0" w:type="dxa"/>
              <w:right w:w="73" w:type="dxa"/>
            </w:tcMar>
            <w:hideMark/>
          </w:tcPr>
          <w:p w14:paraId="05E39399"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6A1FF25"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0.85</w:t>
            </w:r>
            <w:r w:rsidRPr="00587C34">
              <w:rPr>
                <w:rFonts w:ascii="Times New Roman" w:eastAsia="Times New Roman" w:hAnsi="Times New Roman" w:cs="Times New Roman"/>
                <w:kern w:val="0"/>
                <w:lang w:eastAsia="zh-CN"/>
              </w:rPr>
              <w:t>5</w:t>
            </w:r>
            <w:r w:rsidRPr="00587C34">
              <w:rPr>
                <w:rFonts w:ascii="Times New Roman" w:eastAsia="Times New Roman" w:hAnsi="Times New Roman" w:cs="Times New Roman"/>
                <w:kern w:val="0"/>
                <w:lang w:val="en-CN" w:eastAsia="zh-CN"/>
              </w:rPr>
              <w:t>***</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FC5E884"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3675BAAA"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5D86D3C3"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1876CF09"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0.5674</w:t>
            </w:r>
          </w:p>
        </w:tc>
      </w:tr>
      <w:tr w:rsidR="00824A49" w:rsidRPr="00587C34" w14:paraId="0502F222"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6557AF54" w14:textId="688244AC"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6FEE15C9"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1BC6ABEB"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(7.662)</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2FBE1F6D"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2BC87642"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46D9DC4"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3C4A2F3C"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r>
      <w:tr w:rsidR="00824A49" w:rsidRPr="00587C34" w14:paraId="5ECEA0B8"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5D0FB3F4"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3E777AEC"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8B37D10"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0.77</w:t>
            </w:r>
            <w:r w:rsidRPr="00587C34">
              <w:rPr>
                <w:rFonts w:ascii="Times New Roman" w:eastAsia="Times New Roman" w:hAnsi="Times New Roman" w:cs="Times New Roman"/>
                <w:kern w:val="0"/>
                <w:lang w:eastAsia="zh-CN"/>
              </w:rPr>
              <w:t>8</w:t>
            </w:r>
            <w:r w:rsidRPr="00587C34">
              <w:rPr>
                <w:rFonts w:ascii="Times New Roman" w:eastAsia="Times New Roman" w:hAnsi="Times New Roman" w:cs="Times New Roman"/>
                <w:kern w:val="0"/>
                <w:lang w:val="en-CN" w:eastAsia="zh-CN"/>
              </w:rPr>
              <w:t>***</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68D193AB"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0.089</w:t>
            </w:r>
          </w:p>
        </w:tc>
        <w:tc>
          <w:tcPr>
            <w:tcW w:w="1197"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4B1B048D"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668A719B"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68354616"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0.5649</w:t>
            </w:r>
          </w:p>
        </w:tc>
      </w:tr>
      <w:tr w:rsidR="00824A49" w:rsidRPr="00587C34" w14:paraId="45B5AE64"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37F88DCF"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5565054E"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1F8969A3"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(5.189)</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75A6660F"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(0.668)</w:t>
            </w:r>
          </w:p>
        </w:tc>
        <w:tc>
          <w:tcPr>
            <w:tcW w:w="1197"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0BA6311B"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01B6A2C4"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568EF764"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r>
      <w:tr w:rsidR="00824A49" w:rsidRPr="00587C34" w14:paraId="45FCCD03" w14:textId="77777777" w:rsidTr="001A6656">
        <w:trPr>
          <w:trHeight w:val="265"/>
        </w:trPr>
        <w:tc>
          <w:tcPr>
            <w:tcW w:w="1747" w:type="dxa"/>
            <w:tcBorders>
              <w:top w:val="nil"/>
              <w:left w:val="nil"/>
              <w:bottom w:val="nil"/>
              <w:right w:val="nil"/>
            </w:tcBorders>
            <w:shd w:val="clear" w:color="auto" w:fill="auto"/>
            <w:tcMar>
              <w:top w:w="15" w:type="dxa"/>
              <w:left w:w="73" w:type="dxa"/>
              <w:bottom w:w="0" w:type="dxa"/>
              <w:right w:w="73" w:type="dxa"/>
            </w:tcMar>
            <w:hideMark/>
          </w:tcPr>
          <w:p w14:paraId="65F014DB"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nil"/>
              <w:right w:val="nil"/>
            </w:tcBorders>
            <w:shd w:val="clear" w:color="auto" w:fill="auto"/>
            <w:tcMar>
              <w:top w:w="15" w:type="dxa"/>
              <w:left w:w="73" w:type="dxa"/>
              <w:bottom w:w="0" w:type="dxa"/>
              <w:right w:w="73" w:type="dxa"/>
            </w:tcMar>
            <w:hideMark/>
          </w:tcPr>
          <w:p w14:paraId="465D104B"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7B46D4F3"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0.739***</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676467F5"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0.060</w:t>
            </w:r>
          </w:p>
        </w:tc>
        <w:tc>
          <w:tcPr>
            <w:tcW w:w="1197"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11F5219C"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-0.7</w:t>
            </w:r>
            <w:r w:rsidRPr="00587C34">
              <w:rPr>
                <w:rFonts w:ascii="Times New Roman" w:eastAsia="Times New Roman" w:hAnsi="Times New Roman" w:cs="Times New Roman"/>
                <w:kern w:val="0"/>
                <w:lang w:eastAsia="zh-CN"/>
              </w:rPr>
              <w:t>70</w:t>
            </w:r>
            <w:r w:rsidRPr="00587C34">
              <w:rPr>
                <w:rFonts w:ascii="Times New Roman" w:eastAsia="Times New Roman" w:hAnsi="Times New Roman" w:cs="Times New Roman"/>
                <w:kern w:val="0"/>
                <w:lang w:val="en-CN" w:eastAsia="zh-CN"/>
              </w:rPr>
              <w:t>*</w:t>
            </w: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4171DF7"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5E53A5E"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0.6102</w:t>
            </w:r>
          </w:p>
        </w:tc>
      </w:tr>
      <w:tr w:rsidR="00824A49" w:rsidRPr="00587C34" w14:paraId="7DDDB0D7" w14:textId="77777777" w:rsidTr="001A6656">
        <w:trPr>
          <w:trHeight w:val="265"/>
        </w:trPr>
        <w:tc>
          <w:tcPr>
            <w:tcW w:w="1747" w:type="dxa"/>
            <w:tcBorders>
              <w:top w:val="nil"/>
              <w:left w:val="nil"/>
              <w:bottom w:val="single" w:sz="8" w:space="0" w:color="263248"/>
              <w:right w:val="nil"/>
            </w:tcBorders>
            <w:shd w:val="clear" w:color="auto" w:fill="auto"/>
            <w:tcMar>
              <w:top w:w="15" w:type="dxa"/>
              <w:left w:w="73" w:type="dxa"/>
              <w:bottom w:w="0" w:type="dxa"/>
              <w:right w:w="73" w:type="dxa"/>
            </w:tcMar>
            <w:hideMark/>
          </w:tcPr>
          <w:p w14:paraId="0E51D405"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7" w:type="dxa"/>
            <w:tcBorders>
              <w:top w:val="nil"/>
              <w:left w:val="nil"/>
              <w:bottom w:val="single" w:sz="8" w:space="0" w:color="263248"/>
              <w:right w:val="nil"/>
            </w:tcBorders>
            <w:shd w:val="clear" w:color="auto" w:fill="auto"/>
            <w:tcMar>
              <w:top w:w="15" w:type="dxa"/>
              <w:left w:w="73" w:type="dxa"/>
              <w:bottom w:w="0" w:type="dxa"/>
              <w:right w:w="73" w:type="dxa"/>
            </w:tcMar>
            <w:hideMark/>
          </w:tcPr>
          <w:p w14:paraId="743F74D1"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1716E30"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(5.179)</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379CEF72"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eastAsia="zh-CN"/>
              </w:rPr>
              <w:t>(0.473)</w:t>
            </w:r>
          </w:p>
        </w:tc>
        <w:tc>
          <w:tcPr>
            <w:tcW w:w="1197"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1A9AB13F"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r w:rsidRPr="00587C34">
              <w:rPr>
                <w:rFonts w:ascii="Times New Roman" w:eastAsia="Times New Roman" w:hAnsi="Times New Roman" w:cs="Times New Roman"/>
                <w:kern w:val="0"/>
                <w:lang w:val="en-CN" w:eastAsia="zh-CN"/>
              </w:rPr>
              <w:t>(-2.402)</w:t>
            </w: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3B8E86A5"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c>
          <w:tcPr>
            <w:tcW w:w="1198"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65D029BA" w14:textId="77777777" w:rsidR="00824A49" w:rsidRPr="00587C34" w:rsidRDefault="00824A49" w:rsidP="00824A49">
            <w:pPr>
              <w:spacing w:before="80" w:line="240" w:lineRule="auto"/>
              <w:ind w:firstLine="0"/>
              <w:rPr>
                <w:rFonts w:ascii="Times New Roman" w:eastAsia="Times New Roman" w:hAnsi="Times New Roman" w:cs="Times New Roman"/>
                <w:kern w:val="0"/>
                <w:lang w:val="en-CN" w:eastAsia="zh-CN"/>
              </w:rPr>
            </w:pPr>
          </w:p>
        </w:tc>
      </w:tr>
    </w:tbl>
    <w:p w14:paraId="7BCA336A" w14:textId="460751A8" w:rsidR="00587C34" w:rsidRPr="00E05BE6" w:rsidRDefault="00587C34" w:rsidP="007E6DEB">
      <w:pPr>
        <w:spacing w:before="40" w:line="240" w:lineRule="auto"/>
        <w:ind w:firstLine="0"/>
        <w:rPr>
          <w:rFonts w:ascii="Times New Roman" w:eastAsia="Times New Roman" w:hAnsi="Times New Roman" w:cs="Times New Roman"/>
          <w:kern w:val="0"/>
          <w:sz w:val="20"/>
          <w:szCs w:val="20"/>
          <w:lang w:eastAsia="zh-CN"/>
        </w:rPr>
      </w:pPr>
      <w:r w:rsidRPr="00E05BE6">
        <w:rPr>
          <w:rFonts w:ascii="Times New Roman" w:eastAsia="Times New Roman" w:hAnsi="Times New Roman" w:cs="Times New Roman"/>
          <w:kern w:val="0"/>
          <w:sz w:val="20"/>
          <w:szCs w:val="20"/>
          <w:lang w:val="en-CN" w:eastAsia="zh-CN"/>
        </w:rPr>
        <w:t>Note</w:t>
      </w:r>
      <w:r w:rsidR="00C024B0">
        <w:rPr>
          <w:rFonts w:ascii="Times New Roman" w:eastAsia="Times New Roman" w:hAnsi="Times New Roman" w:cs="Times New Roman"/>
          <w:kern w:val="0"/>
          <w:sz w:val="20"/>
          <w:szCs w:val="20"/>
          <w:lang w:eastAsia="zh-CN"/>
        </w:rPr>
        <w:t>s</w:t>
      </w:r>
      <w:r w:rsidRPr="00E05BE6">
        <w:rPr>
          <w:rFonts w:ascii="Times New Roman" w:eastAsia="Times New Roman" w:hAnsi="Times New Roman" w:cs="Times New Roman"/>
          <w:kern w:val="0"/>
          <w:sz w:val="20"/>
          <w:szCs w:val="20"/>
          <w:lang w:val="en-CN" w:eastAsia="zh-CN"/>
        </w:rPr>
        <w:t xml:space="preserve">: </w:t>
      </w:r>
      <w:r w:rsidRPr="00E05BE6">
        <w:rPr>
          <w:rFonts w:ascii="Times New Roman" w:eastAsia="Times New Roman" w:hAnsi="Times New Roman" w:cs="Times New Roman"/>
          <w:kern w:val="0"/>
          <w:sz w:val="20"/>
          <w:szCs w:val="20"/>
          <w:lang w:eastAsia="zh-CN"/>
        </w:rPr>
        <w:t xml:space="preserve">Table 3 presents the results of the prediction regressions. The full sample is from January 2, 2018 to April 3, 2020, and two subsamples are selected. </w:t>
      </w:r>
      <w:r w:rsidR="00824A49" w:rsidRPr="00E05BE6">
        <w:rPr>
          <w:rFonts w:ascii="Times New Roman" w:eastAsia="Times New Roman" w:hAnsi="Times New Roman" w:cs="Times New Roman"/>
          <w:kern w:val="0"/>
          <w:sz w:val="20"/>
          <w:szCs w:val="20"/>
          <w:lang w:eastAsia="zh-CN"/>
        </w:rPr>
        <w:t>Period C</w:t>
      </w:r>
      <w:r w:rsidRPr="00E05BE6">
        <w:rPr>
          <w:rFonts w:ascii="Times New Roman" w:eastAsia="Times New Roman" w:hAnsi="Times New Roman" w:cs="Times New Roman"/>
          <w:kern w:val="0"/>
          <w:sz w:val="20"/>
          <w:szCs w:val="20"/>
          <w:lang w:eastAsia="zh-CN"/>
        </w:rPr>
        <w:t xml:space="preserve"> </w:t>
      </w:r>
      <w:r w:rsidR="00824A49" w:rsidRPr="00E05BE6">
        <w:rPr>
          <w:rFonts w:ascii="Times New Roman" w:eastAsia="Times New Roman" w:hAnsi="Times New Roman" w:cs="Times New Roman"/>
          <w:kern w:val="0"/>
          <w:sz w:val="20"/>
          <w:szCs w:val="20"/>
          <w:lang w:eastAsia="zh-CN"/>
        </w:rPr>
        <w:t xml:space="preserve">(Subsample 1) </w:t>
      </w:r>
      <w:r w:rsidRPr="00E05BE6">
        <w:rPr>
          <w:rFonts w:ascii="Times New Roman" w:eastAsia="Times New Roman" w:hAnsi="Times New Roman" w:cs="Times New Roman"/>
          <w:kern w:val="0"/>
          <w:sz w:val="20"/>
          <w:szCs w:val="20"/>
          <w:lang w:eastAsia="zh-CN"/>
        </w:rPr>
        <w:t xml:space="preserve">is from February 11, 2019 to May 31, 2019; and </w:t>
      </w:r>
      <w:r w:rsidR="00824A49" w:rsidRPr="00E05BE6">
        <w:rPr>
          <w:rFonts w:ascii="Times New Roman" w:eastAsia="Times New Roman" w:hAnsi="Times New Roman" w:cs="Times New Roman"/>
          <w:kern w:val="0"/>
          <w:sz w:val="20"/>
          <w:szCs w:val="20"/>
          <w:lang w:eastAsia="zh-CN"/>
        </w:rPr>
        <w:t xml:space="preserve">Period D (Subsample 2) </w:t>
      </w:r>
      <w:r w:rsidRPr="00E05BE6">
        <w:rPr>
          <w:rFonts w:ascii="Times New Roman" w:eastAsia="Times New Roman" w:hAnsi="Times New Roman" w:cs="Times New Roman"/>
          <w:kern w:val="0"/>
          <w:sz w:val="20"/>
          <w:szCs w:val="20"/>
          <w:lang w:eastAsia="zh-CN"/>
        </w:rPr>
        <w:t>is from February 3, 2020 to April 3, 2020. The t values (in parentheses are based on the Newey and West (1987) standard errors</w:t>
      </w:r>
      <w:r w:rsidR="00824A49" w:rsidRPr="00E05BE6">
        <w:rPr>
          <w:rFonts w:ascii="Times New Roman" w:eastAsia="Times New Roman" w:hAnsi="Times New Roman" w:cs="Times New Roman"/>
          <w:kern w:val="0"/>
          <w:sz w:val="20"/>
          <w:szCs w:val="20"/>
          <w:lang w:eastAsia="zh-CN"/>
        </w:rPr>
        <w:t xml:space="preserve">. </w:t>
      </w:r>
      <w:r w:rsidRPr="00E05BE6">
        <w:rPr>
          <w:rFonts w:ascii="Times New Roman" w:eastAsia="Times New Roman" w:hAnsi="Times New Roman" w:cs="Times New Roman"/>
          <w:kern w:val="0"/>
          <w:sz w:val="20"/>
          <w:szCs w:val="20"/>
          <w:lang w:eastAsia="zh-CN"/>
        </w:rPr>
        <w:t>***, ** and * denote the statistical significance at 1%, 5% and 10% levels respectively.</w:t>
      </w:r>
    </w:p>
    <w:p w14:paraId="38B8BBF1" w14:textId="220EDD1A" w:rsidR="00824A49" w:rsidRDefault="00824A49" w:rsidP="00587C34">
      <w:pPr>
        <w:spacing w:before="80" w:line="240" w:lineRule="auto"/>
        <w:ind w:firstLine="0"/>
        <w:rPr>
          <w:rFonts w:ascii="Times New Roman" w:eastAsia="Times New Roman" w:hAnsi="Times New Roman" w:cs="Times New Roman"/>
          <w:kern w:val="0"/>
          <w:lang w:eastAsia="zh-CN"/>
        </w:rPr>
      </w:pPr>
    </w:p>
    <w:p w14:paraId="2F44EC0A" w14:textId="30F0885F" w:rsidR="00824A49" w:rsidRDefault="000F3B54" w:rsidP="000F3B54">
      <w:pPr>
        <w:rPr>
          <w:rFonts w:ascii="Times New Roman" w:eastAsia="Times New Roman" w:hAnsi="Times New Roman" w:cs="Times New Roman"/>
          <w:kern w:val="0"/>
          <w:lang w:eastAsia="zh-CN"/>
        </w:rPr>
      </w:pPr>
      <w:r w:rsidRPr="000F3B54">
        <w:rPr>
          <w:rFonts w:ascii="Times New Roman" w:eastAsia="Times New Roman" w:hAnsi="Times New Roman" w:cs="Times New Roman"/>
          <w:kern w:val="0"/>
          <w:lang w:val="en-CN" w:eastAsia="zh-CN"/>
        </w:rPr>
        <w:t>In the</w:t>
      </w:r>
      <w:r w:rsidRPr="000F3B54">
        <w:rPr>
          <w:rFonts w:ascii="Times New Roman" w:eastAsia="Times New Roman" w:hAnsi="Times New Roman" w:cs="Times New Roman"/>
          <w:kern w:val="0"/>
          <w:lang w:eastAsia="zh-CN"/>
        </w:rPr>
        <w:t xml:space="preserve"> </w:t>
      </w:r>
      <w:r w:rsidRPr="000F3B54">
        <w:rPr>
          <w:rFonts w:ascii="Times New Roman" w:eastAsia="Times New Roman" w:hAnsi="Times New Roman" w:cs="Times New Roman"/>
          <w:kern w:val="0"/>
          <w:lang w:val="en-CN" w:eastAsia="zh-CN"/>
        </w:rPr>
        <w:t>predictive regression</w:t>
      </w:r>
      <w:r w:rsidRPr="000F3B54">
        <w:rPr>
          <w:rFonts w:ascii="Times New Roman" w:eastAsia="Times New Roman" w:hAnsi="Times New Roman" w:cs="Times New Roman"/>
          <w:kern w:val="0"/>
          <w:lang w:eastAsia="zh-CN"/>
        </w:rPr>
        <w:t xml:space="preserve">s using </w:t>
      </w:r>
      <m:oMath>
        <m:sSub>
          <m:sSubPr>
            <m:ctrlPr>
              <w:rPr>
                <w:rFonts w:ascii="Cambria Math" w:eastAsia="Times New Roman" w:hAnsi="Cambria Math" w:cs="Times New Roman"/>
                <w:kern w:val="0"/>
                <w:lang w:eastAsia="zh-CN"/>
              </w:rPr>
            </m:ctrlPr>
          </m:sSubPr>
          <m:e>
            <m:r>
              <w:rPr>
                <w:rFonts w:ascii="Cambria Math" w:eastAsia="Times New Roman" w:hAnsi="Cambria Math" w:cs="Times New Roman"/>
                <w:kern w:val="0"/>
                <w:lang w:eastAsia="zh-CN"/>
              </w:rPr>
              <m:t>IV</m:t>
            </m:r>
          </m:e>
          <m:sub>
            <m:r>
              <w:rPr>
                <w:rFonts w:ascii="Cambria Math" w:eastAsia="Times New Roman" w:hAnsi="Cambria Math" w:cs="Times New Roman"/>
                <w:kern w:val="0"/>
                <w:lang w:eastAsia="zh-CN"/>
              </w:rPr>
              <m:t>t</m:t>
            </m:r>
            <m:r>
              <m:rPr>
                <m:sty m:val="p"/>
              </m:rPr>
              <w:rPr>
                <w:rFonts w:ascii="Cambria Math" w:eastAsia="Times New Roman" w:hAnsi="Cambria Math" w:cs="Times New Roman"/>
                <w:kern w:val="0"/>
                <w:lang w:eastAsia="zh-CN"/>
              </w:rPr>
              <m:t>-1</m:t>
            </m:r>
          </m:sub>
        </m:sSub>
      </m:oMath>
      <w:r w:rsidRPr="000F3B54">
        <w:rPr>
          <w:rFonts w:ascii="Times New Roman" w:eastAsia="Times New Roman" w:hAnsi="Times New Roman" w:cs="Times New Roman"/>
          <w:kern w:val="0"/>
          <w:lang w:val="en-CN" w:eastAsia="zh-CN"/>
        </w:rPr>
        <w:t xml:space="preserve"> </w:t>
      </w:r>
      <w:r w:rsidRPr="000F3B54">
        <w:rPr>
          <w:rFonts w:ascii="Times New Roman" w:eastAsia="Times New Roman" w:hAnsi="Times New Roman" w:cs="Times New Roman"/>
          <w:kern w:val="0"/>
          <w:lang w:eastAsia="zh-CN"/>
        </w:rPr>
        <w:t xml:space="preserve">as a single regressor, </w:t>
      </w:r>
      <m:oMath>
        <m:sSub>
          <m:sSubPr>
            <m:ctrlPr>
              <w:rPr>
                <w:rFonts w:ascii="Cambria Math" w:eastAsia="Times New Roman" w:hAnsi="Cambria Math" w:cs="Times New Roman"/>
                <w:kern w:val="0"/>
                <w:lang w:eastAsia="zh-CN"/>
              </w:rPr>
            </m:ctrlPr>
          </m:sSubPr>
          <m:e>
            <m:r>
              <w:rPr>
                <w:rFonts w:ascii="Cambria Math" w:eastAsia="Times New Roman" w:hAnsi="Cambria Math" w:cs="Times New Roman"/>
                <w:kern w:val="0"/>
                <w:lang w:eastAsia="zh-CN"/>
              </w:rPr>
              <m:t>IV</m:t>
            </m:r>
          </m:e>
          <m:sub>
            <m:r>
              <w:rPr>
                <w:rFonts w:ascii="Cambria Math" w:eastAsia="Times New Roman" w:hAnsi="Cambria Math" w:cs="Times New Roman"/>
                <w:kern w:val="0"/>
                <w:lang w:eastAsia="zh-CN"/>
              </w:rPr>
              <m:t>t</m:t>
            </m:r>
            <m:r>
              <m:rPr>
                <m:sty m:val="p"/>
              </m:rPr>
              <w:rPr>
                <w:rFonts w:ascii="Cambria Math" w:eastAsia="Times New Roman" w:hAnsi="Cambria Math" w:cs="Times New Roman"/>
                <w:kern w:val="0"/>
                <w:lang w:eastAsia="zh-CN"/>
              </w:rPr>
              <m:t>-1</m:t>
            </m:r>
          </m:sub>
        </m:sSub>
      </m:oMath>
      <w:r w:rsidRPr="000F3B54">
        <w:rPr>
          <w:rFonts w:ascii="Times New Roman" w:eastAsia="Times New Roman" w:hAnsi="Times New Roman" w:cs="Times New Roman"/>
          <w:kern w:val="0"/>
          <w:lang w:val="en-CN" w:eastAsia="zh-CN"/>
        </w:rPr>
        <w:t xml:space="preserve"> has a coefficient of 0.773 in the full sample, 0.919 in period C, and 0.855 in period D, all at </w:t>
      </w:r>
      <w:r w:rsidRPr="000F3B54">
        <w:rPr>
          <w:rFonts w:ascii="Times New Roman" w:eastAsia="Times New Roman" w:hAnsi="Times New Roman" w:cs="Times New Roman"/>
          <w:kern w:val="0"/>
          <w:lang w:eastAsia="zh-CN"/>
        </w:rPr>
        <w:t xml:space="preserve">the </w:t>
      </w:r>
      <w:r w:rsidRPr="000F3B54">
        <w:rPr>
          <w:rFonts w:ascii="Times New Roman" w:eastAsia="Times New Roman" w:hAnsi="Times New Roman" w:cs="Times New Roman"/>
          <w:kern w:val="0"/>
          <w:lang w:val="en-CN" w:eastAsia="zh-CN"/>
        </w:rPr>
        <w:t>significance level</w:t>
      </w:r>
      <w:r w:rsidRPr="000F3B54">
        <w:rPr>
          <w:rFonts w:ascii="Times New Roman" w:eastAsia="Times New Roman" w:hAnsi="Times New Roman" w:cs="Times New Roman"/>
          <w:kern w:val="0"/>
          <w:lang w:eastAsia="zh-CN"/>
        </w:rPr>
        <w:t xml:space="preserve"> </w:t>
      </w:r>
      <w:r w:rsidR="002B6012">
        <w:rPr>
          <w:rFonts w:ascii="Times New Roman" w:eastAsia="Times New Roman" w:hAnsi="Times New Roman" w:cs="Times New Roman"/>
          <w:kern w:val="0"/>
          <w:lang w:eastAsia="zh-CN"/>
        </w:rPr>
        <w:t xml:space="preserve">of </w:t>
      </w:r>
      <w:r w:rsidRPr="000F3B54">
        <w:rPr>
          <w:rFonts w:ascii="Times New Roman" w:eastAsia="Times New Roman" w:hAnsi="Times New Roman" w:cs="Times New Roman"/>
          <w:kern w:val="0"/>
          <w:lang w:eastAsia="zh-CN"/>
        </w:rPr>
        <w:t xml:space="preserve">1%. During market declines, implied volatility performs even better in predicting </w:t>
      </w:r>
      <w:r w:rsidR="002B6012">
        <w:rPr>
          <w:rFonts w:ascii="Times New Roman" w:eastAsia="Times New Roman" w:hAnsi="Times New Roman" w:cs="Times New Roman"/>
          <w:kern w:val="0"/>
          <w:lang w:eastAsia="zh-CN"/>
        </w:rPr>
        <w:t xml:space="preserve">future realized volatility. </w:t>
      </w:r>
      <w:r w:rsidRPr="000F3B54">
        <w:rPr>
          <w:rFonts w:ascii="Times New Roman" w:eastAsia="Times New Roman" w:hAnsi="Times New Roman" w:cs="Times New Roman"/>
          <w:kern w:val="0"/>
          <w:lang w:eastAsia="zh-CN"/>
        </w:rPr>
        <w:t xml:space="preserve">In period C, where implied volatility and price are positively correlated,  </w:t>
      </w:r>
      <m:oMath>
        <m:sSub>
          <m:sSubPr>
            <m:ctrlPr>
              <w:rPr>
                <w:rFonts w:ascii="Cambria Math" w:eastAsia="Times New Roman" w:hAnsi="Cambria Math" w:cs="Times New Roman"/>
                <w:kern w:val="0"/>
                <w:lang w:eastAsia="zh-CN"/>
              </w:rPr>
            </m:ctrlPr>
          </m:sSubPr>
          <m:e>
            <m:r>
              <w:rPr>
                <w:rFonts w:ascii="Cambria Math" w:eastAsia="Times New Roman" w:hAnsi="Cambria Math" w:cs="Times New Roman"/>
                <w:kern w:val="0"/>
                <w:lang w:eastAsia="zh-CN"/>
              </w:rPr>
              <m:t>IV</m:t>
            </m:r>
          </m:e>
          <m:sub>
            <m:r>
              <w:rPr>
                <w:rFonts w:ascii="Cambria Math" w:eastAsia="Times New Roman" w:hAnsi="Cambria Math" w:cs="Times New Roman"/>
                <w:kern w:val="0"/>
                <w:lang w:eastAsia="zh-CN"/>
              </w:rPr>
              <m:t>t</m:t>
            </m:r>
            <m:r>
              <m:rPr>
                <m:sty m:val="p"/>
              </m:rPr>
              <w:rPr>
                <w:rFonts w:ascii="Cambria Math" w:eastAsia="Times New Roman" w:hAnsi="Cambria Math" w:cs="Times New Roman"/>
                <w:kern w:val="0"/>
                <w:lang w:eastAsia="zh-CN"/>
              </w:rPr>
              <m:t>-1</m:t>
            </m:r>
          </m:sub>
        </m:sSub>
      </m:oMath>
      <w:r w:rsidRPr="000F3B54">
        <w:rPr>
          <w:rFonts w:ascii="Times New Roman" w:eastAsia="Times New Roman" w:hAnsi="Times New Roman" w:cs="Times New Roman"/>
          <w:kern w:val="0"/>
          <w:lang w:eastAsia="zh-CN"/>
        </w:rPr>
        <w:t xml:space="preserve"> appears </w:t>
      </w:r>
      <w:r w:rsidRPr="000F3B54">
        <w:rPr>
          <w:rFonts w:ascii="Times New Roman" w:eastAsia="Times New Roman" w:hAnsi="Times New Roman" w:cs="Times New Roman"/>
          <w:kern w:val="0"/>
          <w:lang w:eastAsia="zh-CN"/>
        </w:rPr>
        <w:lastRenderedPageBreak/>
        <w:t>to have weaker predictive powe</w:t>
      </w:r>
      <w:r w:rsidR="0042393E">
        <w:rPr>
          <w:rFonts w:ascii="Times New Roman" w:eastAsia="Times New Roman" w:hAnsi="Times New Roman" w:cs="Times New Roman"/>
          <w:kern w:val="0"/>
          <w:lang w:eastAsia="zh-CN"/>
        </w:rPr>
        <w:t xml:space="preserve">r </w:t>
      </w:r>
      <w:r w:rsidR="002C28EF">
        <w:rPr>
          <w:rFonts w:ascii="Times New Roman" w:eastAsia="Times New Roman" w:hAnsi="Times New Roman" w:cs="Times New Roman"/>
          <w:kern w:val="0"/>
          <w:lang w:eastAsia="zh-CN"/>
        </w:rPr>
        <w:t>in this subsample</w:t>
      </w:r>
      <w:r w:rsidRPr="000F3B54">
        <w:rPr>
          <w:rFonts w:ascii="Times New Roman" w:eastAsia="Times New Roman" w:hAnsi="Times New Roman" w:cs="Times New Roman"/>
          <w:kern w:val="0"/>
          <w:lang w:eastAsia="zh-CN"/>
        </w:rPr>
        <w:t xml:space="preserve">, where the adjusted R-squared is </w:t>
      </w:r>
      <w:r w:rsidRPr="000F3B54">
        <w:rPr>
          <w:rFonts w:ascii="Times New Roman" w:eastAsia="Times New Roman" w:hAnsi="Times New Roman" w:cs="Times New Roman"/>
          <w:kern w:val="0"/>
          <w:lang w:val="en-CN" w:eastAsia="zh-CN"/>
        </w:rPr>
        <w:t>0.3774</w:t>
      </w:r>
      <w:r w:rsidRPr="000F3B54">
        <w:rPr>
          <w:rFonts w:ascii="Times New Roman" w:eastAsia="Times New Roman" w:hAnsi="Times New Roman" w:cs="Times New Roman"/>
          <w:kern w:val="0"/>
          <w:lang w:eastAsia="zh-CN"/>
        </w:rPr>
        <w:t xml:space="preserve"> compared to </w:t>
      </w:r>
      <w:r w:rsidRPr="000F3B54">
        <w:rPr>
          <w:rFonts w:ascii="Times New Roman" w:eastAsia="Times New Roman" w:hAnsi="Times New Roman" w:cs="Times New Roman"/>
          <w:kern w:val="0"/>
          <w:lang w:val="en-CN" w:eastAsia="zh-CN"/>
        </w:rPr>
        <w:t>0.5262</w:t>
      </w:r>
      <w:r w:rsidRPr="000F3B54">
        <w:rPr>
          <w:rFonts w:ascii="Times New Roman" w:eastAsia="Times New Roman" w:hAnsi="Times New Roman" w:cs="Times New Roman"/>
          <w:kern w:val="0"/>
          <w:lang w:eastAsia="zh-CN"/>
        </w:rPr>
        <w:t xml:space="preserve"> in the full sample and </w:t>
      </w:r>
      <w:r w:rsidRPr="000F3B54">
        <w:rPr>
          <w:rFonts w:ascii="Times New Roman" w:eastAsia="Times New Roman" w:hAnsi="Times New Roman" w:cs="Times New Roman"/>
          <w:kern w:val="0"/>
          <w:lang w:val="en-CN" w:eastAsia="zh-CN"/>
        </w:rPr>
        <w:t>0.5674</w:t>
      </w:r>
      <w:r w:rsidRPr="000F3B54">
        <w:rPr>
          <w:rFonts w:ascii="Times New Roman" w:eastAsia="Times New Roman" w:hAnsi="Times New Roman" w:cs="Times New Roman"/>
          <w:kern w:val="0"/>
          <w:lang w:eastAsia="zh-CN"/>
        </w:rPr>
        <w:t xml:space="preserve"> in period D. </w:t>
      </w:r>
      <w:r w:rsidR="00324069">
        <w:rPr>
          <w:rFonts w:ascii="Times New Roman" w:eastAsia="Times New Roman" w:hAnsi="Times New Roman" w:cs="Times New Roman"/>
          <w:kern w:val="0"/>
          <w:lang w:eastAsia="zh-CN"/>
        </w:rPr>
        <w:t xml:space="preserve">Moreover, </w:t>
      </w:r>
      <m:oMath>
        <m:r>
          <w:rPr>
            <w:rFonts w:ascii="Cambria Math" w:hAnsi="Cambria Math"/>
            <w:color w:val="212121"/>
          </w:rPr>
          <m:t>R</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t-1</m:t>
            </m:r>
          </m:sub>
        </m:sSub>
      </m:oMath>
      <w:r w:rsidR="00324069">
        <w:rPr>
          <w:iCs/>
          <w:color w:val="212121"/>
          <w:lang w:eastAsia="zh-CN"/>
        </w:rPr>
        <w:t xml:space="preserve"> </w:t>
      </w:r>
      <w:r w:rsidR="00BE18E6">
        <w:rPr>
          <w:iCs/>
          <w:color w:val="212121"/>
          <w:lang w:eastAsia="zh-CN"/>
        </w:rPr>
        <w:t xml:space="preserve">turns out to be </w:t>
      </w:r>
      <w:r w:rsidR="0068443B">
        <w:rPr>
          <w:iCs/>
          <w:color w:val="212121"/>
          <w:lang w:eastAsia="zh-CN"/>
        </w:rPr>
        <w:t xml:space="preserve">an insignificant variable in the </w:t>
      </w:r>
      <w:r w:rsidR="00BE18E6">
        <w:rPr>
          <w:iCs/>
          <w:color w:val="212121"/>
          <w:lang w:eastAsia="zh-CN"/>
        </w:rPr>
        <w:t>regressions</w:t>
      </w:r>
      <w:r w:rsidR="0068443B">
        <w:rPr>
          <w:iCs/>
          <w:color w:val="212121"/>
          <w:lang w:eastAsia="zh-CN"/>
        </w:rPr>
        <w:t xml:space="preserve"> for two subsamples</w:t>
      </w:r>
      <w:r w:rsidR="00BE18E6">
        <w:rPr>
          <w:iCs/>
          <w:color w:val="212121"/>
          <w:lang w:eastAsia="zh-CN"/>
        </w:rPr>
        <w:t xml:space="preserve">. This may imply that when </w:t>
      </w:r>
      <w:r w:rsidR="00120C1F">
        <w:rPr>
          <w:iCs/>
          <w:color w:val="212121"/>
          <w:lang w:eastAsia="zh-CN"/>
        </w:rPr>
        <w:t xml:space="preserve">the </w:t>
      </w:r>
      <w:r w:rsidR="00BE18E6">
        <w:rPr>
          <w:iCs/>
          <w:color w:val="212121"/>
          <w:lang w:eastAsia="zh-CN"/>
        </w:rPr>
        <w:t xml:space="preserve">market experiences large uncertainties or huge declines, implied volatility </w:t>
      </w:r>
      <w:r w:rsidR="00120C1F">
        <w:rPr>
          <w:iCs/>
          <w:color w:val="212121"/>
          <w:lang w:eastAsia="zh-CN"/>
        </w:rPr>
        <w:t>takes over historical volatility in terms of the information it contains for future volatility.</w:t>
      </w:r>
    </w:p>
    <w:p w14:paraId="58A33860" w14:textId="77777777" w:rsidR="0063256B" w:rsidRDefault="0063256B" w:rsidP="000F3B54">
      <w:pPr>
        <w:rPr>
          <w:rFonts w:ascii="Times New Roman" w:eastAsia="Times New Roman" w:hAnsi="Times New Roman" w:cs="Times New Roman"/>
          <w:kern w:val="0"/>
          <w:lang w:eastAsia="zh-CN"/>
        </w:rPr>
      </w:pPr>
    </w:p>
    <w:p w14:paraId="6ED98950" w14:textId="0CBA819C" w:rsidR="0063256B" w:rsidRPr="00B224B8" w:rsidRDefault="0063256B" w:rsidP="0063256B">
      <w:pPr>
        <w:pStyle w:val="ListParagraph"/>
        <w:numPr>
          <w:ilvl w:val="0"/>
          <w:numId w:val="14"/>
        </w:numPr>
        <w:rPr>
          <w:b/>
          <w:bCs/>
        </w:rPr>
      </w:pPr>
      <w:r w:rsidRPr="00B224B8">
        <w:rPr>
          <w:b/>
          <w:bCs/>
        </w:rPr>
        <w:t xml:space="preserve">Predicting RV using IV vs. GARCH (1,1) </w:t>
      </w:r>
      <w:r w:rsidRPr="00B224B8">
        <w:rPr>
          <w:rFonts w:ascii="Times New Roman" w:eastAsia="Times New Roman" w:hAnsi="Times New Roman" w:cs="Times New Roman"/>
          <w:b/>
          <w:bCs/>
          <w:kern w:val="0"/>
          <w:lang w:eastAsia="zh-CN"/>
        </w:rPr>
        <w:t>forecasted volatility estimates</w:t>
      </w:r>
    </w:p>
    <w:p w14:paraId="6A51A5B2" w14:textId="77777777" w:rsidR="000B527A" w:rsidRPr="000B527A" w:rsidRDefault="000B527A" w:rsidP="0042393E">
      <w:pPr>
        <w:spacing w:before="160" w:after="80" w:line="240" w:lineRule="auto"/>
        <w:ind w:firstLine="0"/>
        <w:rPr>
          <w:rFonts w:ascii="Times New Roman" w:eastAsia="Times New Roman" w:hAnsi="Times New Roman" w:cs="Times New Roman"/>
          <w:kern w:val="0"/>
          <w:lang w:eastAsia="zh-CN"/>
        </w:rPr>
      </w:pPr>
      <w:r w:rsidRPr="0042393E">
        <w:rPr>
          <w:rFonts w:ascii="Times New Roman" w:eastAsia="Times New Roman" w:hAnsi="Times New Roman" w:cs="Times New Roman"/>
          <w:kern w:val="0"/>
          <w:lang w:eastAsia="zh-CN"/>
        </w:rPr>
        <w:t xml:space="preserve">Table </w:t>
      </w:r>
      <w:r w:rsidRPr="000B527A">
        <w:rPr>
          <w:rFonts w:ascii="Times New Roman" w:eastAsia="Times New Roman" w:hAnsi="Times New Roman" w:cs="Times New Roman"/>
          <w:kern w:val="0"/>
          <w:lang w:eastAsia="zh-CN"/>
        </w:rPr>
        <w:t xml:space="preserve">4 </w:t>
      </w:r>
      <w:r w:rsidRPr="0042393E">
        <w:rPr>
          <w:rFonts w:ascii="Times New Roman" w:eastAsia="Times New Roman" w:hAnsi="Times New Roman" w:cs="Times New Roman"/>
          <w:kern w:val="0"/>
          <w:lang w:eastAsia="zh-CN"/>
        </w:rPr>
        <w:t xml:space="preserve">Predictive regressions of IV and </w:t>
      </w:r>
      <w:proofErr w:type="gramStart"/>
      <w:r w:rsidRPr="0042393E">
        <w:rPr>
          <w:rFonts w:ascii="Times New Roman" w:eastAsia="Times New Roman" w:hAnsi="Times New Roman" w:cs="Times New Roman"/>
          <w:kern w:val="0"/>
          <w:lang w:eastAsia="zh-CN"/>
        </w:rPr>
        <w:t>GARCH(</w:t>
      </w:r>
      <w:proofErr w:type="gramEnd"/>
      <w:r w:rsidRPr="0042393E">
        <w:rPr>
          <w:rFonts w:ascii="Times New Roman" w:eastAsia="Times New Roman" w:hAnsi="Times New Roman" w:cs="Times New Roman"/>
          <w:kern w:val="0"/>
          <w:lang w:eastAsia="zh-CN"/>
        </w:rPr>
        <w:t xml:space="preserve">1,1) </w:t>
      </w:r>
      <w:r w:rsidRPr="000B527A">
        <w:rPr>
          <w:rFonts w:ascii="Times New Roman" w:eastAsia="Times New Roman" w:hAnsi="Times New Roman" w:cs="Times New Roman"/>
          <w:kern w:val="0"/>
          <w:lang w:eastAsia="zh-CN"/>
        </w:rPr>
        <w:t xml:space="preserve">forecasted </w:t>
      </w:r>
      <w:r w:rsidRPr="0042393E">
        <w:rPr>
          <w:rFonts w:ascii="Times New Roman" w:eastAsia="Times New Roman" w:hAnsi="Times New Roman" w:cs="Times New Roman"/>
          <w:kern w:val="0"/>
          <w:lang w:eastAsia="zh-CN"/>
        </w:rPr>
        <w:t>volatility estimates</w:t>
      </w:r>
    </w:p>
    <w:tbl>
      <w:tblPr>
        <w:tblW w:w="9292" w:type="dxa"/>
        <w:tblCellMar>
          <w:left w:w="0" w:type="dxa"/>
          <w:right w:w="0" w:type="dxa"/>
        </w:tblCellMar>
        <w:tblLook w:val="04A0" w:firstRow="1" w:lastRow="0" w:firstColumn="1" w:lastColumn="0" w:noHBand="0" w:noVBand="1"/>
      </w:tblPr>
      <w:tblGrid>
        <w:gridCol w:w="1918"/>
        <w:gridCol w:w="1481"/>
        <w:gridCol w:w="1965"/>
        <w:gridCol w:w="1965"/>
        <w:gridCol w:w="1963"/>
      </w:tblGrid>
      <w:tr w:rsidR="00B922CB" w:rsidRPr="00B922CB" w14:paraId="10618D48" w14:textId="77777777" w:rsidTr="00866419">
        <w:trPr>
          <w:trHeight w:val="388"/>
        </w:trPr>
        <w:tc>
          <w:tcPr>
            <w:tcW w:w="1918"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424188B3" w14:textId="77777777" w:rsidR="00B922CB" w:rsidRPr="00B922CB" w:rsidRDefault="00B922CB" w:rsidP="00B922CB">
            <w:pPr>
              <w:spacing w:before="80" w:line="240" w:lineRule="auto"/>
              <w:ind w:firstLine="0"/>
              <w:rPr>
                <w:rFonts w:ascii="Times New Roman" w:eastAsia="Times New Roman" w:hAnsi="Times New Roman" w:cs="Times New Roman"/>
                <w:kern w:val="0"/>
                <w:lang w:eastAsia="zh-CN"/>
              </w:rPr>
            </w:pPr>
          </w:p>
        </w:tc>
        <w:tc>
          <w:tcPr>
            <w:tcW w:w="1481"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672610AB" w14:textId="77777777" w:rsidR="00B922CB" w:rsidRPr="00B922CB" w:rsidRDefault="00B922CB" w:rsidP="00B922CB">
            <w:pPr>
              <w:spacing w:before="80" w:line="240" w:lineRule="auto"/>
              <w:ind w:firstLine="0"/>
              <w:jc w:val="center"/>
              <w:rPr>
                <w:rFonts w:ascii="Times New Roman" w:eastAsia="Times New Roman" w:hAnsi="Times New Roman" w:cs="Times New Roman"/>
                <w:i/>
                <w:kern w:val="0"/>
                <w:lang w:val="en-CN" w:eastAsia="zh-CN"/>
              </w:rPr>
            </w:pPr>
            <m:oMathPara>
              <m:oMath>
                <m:r>
                  <w:rPr>
                    <w:rFonts w:ascii="Cambria Math" w:eastAsia="Times New Roman" w:hAnsi="Cambria Math" w:cs="Times New Roman"/>
                    <w:color w:val="212121"/>
                    <w:kern w:val="0"/>
                    <w:lang w:val="en-CN" w:eastAsia="zh-CN"/>
                  </w:rPr>
                  <m:t>R</m:t>
                </m:r>
                <m:sSub>
                  <m:sSubPr>
                    <m:ctrlPr>
                      <w:rPr>
                        <w:rFonts w:ascii="Cambria Math" w:eastAsia="Times New Roman" w:hAnsi="Cambria Math" w:cs="Times New Roman"/>
                        <w:i/>
                        <w:iCs/>
                        <w:color w:val="212121"/>
                        <w:kern w:val="0"/>
                        <w:lang w:val="en-CN" w:eastAsia="zh-CN"/>
                      </w:rPr>
                    </m:ctrlPr>
                  </m:sSubPr>
                  <m:e>
                    <m:r>
                      <w:rPr>
                        <w:rFonts w:ascii="Cambria Math" w:eastAsia="Times New Roman" w:hAnsi="Cambria Math" w:cs="Times New Roman"/>
                        <w:color w:val="212121"/>
                        <w:kern w:val="0"/>
                        <w:lang w:val="en-CN" w:eastAsia="zh-CN"/>
                      </w:rPr>
                      <m:t>V</m:t>
                    </m:r>
                  </m:e>
                  <m:sub>
                    <m:r>
                      <w:rPr>
                        <w:rFonts w:ascii="Cambria Math" w:eastAsia="Times New Roman" w:hAnsi="Cambria Math" w:cs="Times New Roman"/>
                        <w:color w:val="212121"/>
                        <w:kern w:val="0"/>
                        <w:lang w:val="en-CN" w:eastAsia="zh-CN"/>
                      </w:rPr>
                      <m:t>t</m:t>
                    </m:r>
                  </m:sub>
                </m:sSub>
              </m:oMath>
            </m:oMathPara>
          </w:p>
        </w:tc>
        <w:tc>
          <w:tcPr>
            <w:tcW w:w="1965"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3A5A6190" w14:textId="77777777" w:rsidR="00B922CB" w:rsidRPr="00B922CB" w:rsidRDefault="00C44556" w:rsidP="00B922CB">
            <w:pPr>
              <w:spacing w:before="80" w:line="240" w:lineRule="auto"/>
              <w:ind w:firstLine="0"/>
              <w:jc w:val="center"/>
              <w:rPr>
                <w:rFonts w:ascii="Times New Roman" w:eastAsia="Times New Roman" w:hAnsi="Times New Roman" w:cs="Times New Roman"/>
                <w:kern w:val="0"/>
                <w:lang w:val="en-CN" w:eastAsia="zh-CN"/>
              </w:rPr>
            </w:pPr>
            <m:oMathPara>
              <m:oMathParaPr>
                <m:jc m:val="centerGroup"/>
              </m:oMathParaPr>
              <m:oMath>
                <m:sSub>
                  <m:sSubPr>
                    <m:ctrlPr>
                      <w:rPr>
                        <w:rFonts w:ascii="Cambria Math" w:eastAsia="Times New Roman" w:hAnsi="Cambria Math" w:cs="Times New Roman"/>
                        <w:i/>
                        <w:iCs/>
                        <w:kern w:val="0"/>
                        <w:lang w:val="en-CN" w:eastAsia="zh-CN"/>
                      </w:rPr>
                    </m:ctrlPr>
                  </m:sSubPr>
                  <m:e>
                    <m:r>
                      <w:rPr>
                        <w:rFonts w:ascii="Cambria Math" w:eastAsia="Times New Roman" w:hAnsi="Cambria Math" w:cs="Times New Roman"/>
                        <w:kern w:val="0"/>
                        <w:lang w:val="en-CN" w:eastAsia="zh-CN"/>
                      </w:rPr>
                      <m:t>σ</m:t>
                    </m:r>
                  </m:e>
                  <m:sub>
                    <m:r>
                      <w:rPr>
                        <w:rFonts w:ascii="Cambria Math" w:eastAsia="Times New Roman" w:hAnsi="Cambria Math" w:cs="Times New Roman"/>
                        <w:kern w:val="0"/>
                        <w:lang w:eastAsia="zh-CN"/>
                      </w:rPr>
                      <m:t>GARCH,t</m:t>
                    </m:r>
                  </m:sub>
                </m:sSub>
              </m:oMath>
            </m:oMathPara>
          </w:p>
        </w:tc>
        <w:tc>
          <w:tcPr>
            <w:tcW w:w="1965"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385DAB4D" w14:textId="77777777" w:rsidR="00B922CB" w:rsidRPr="00B922CB" w:rsidRDefault="00C44556" w:rsidP="00B922CB">
            <w:pPr>
              <w:spacing w:before="80" w:line="240" w:lineRule="auto"/>
              <w:ind w:firstLine="0"/>
              <w:jc w:val="center"/>
              <w:rPr>
                <w:rFonts w:ascii="Times New Roman" w:eastAsia="Times New Roman" w:hAnsi="Times New Roman" w:cs="Times New Roman"/>
                <w:kern w:val="0"/>
                <w:lang w:val="en-CN" w:eastAsia="zh-CN"/>
              </w:rPr>
            </w:pPr>
            <m:oMathPara>
              <m:oMath>
                <m:sSub>
                  <m:sSubPr>
                    <m:ctrlPr>
                      <w:rPr>
                        <w:rFonts w:ascii="Cambria Math" w:eastAsia="Times New Roman" w:hAnsi="Cambria Math" w:cs="Times New Roman"/>
                        <w:i/>
                        <w:iCs/>
                        <w:color w:val="212121"/>
                        <w:kern w:val="0"/>
                        <w:lang w:val="en-CN" w:eastAsia="zh-CN"/>
                      </w:rPr>
                    </m:ctrlPr>
                  </m:sSubPr>
                  <m:e>
                    <m:r>
                      <w:rPr>
                        <w:rFonts w:ascii="Cambria Math" w:eastAsia="Times New Roman" w:hAnsi="Cambria Math" w:cs="Times New Roman"/>
                        <w:color w:val="212121"/>
                        <w:kern w:val="0"/>
                        <w:lang w:val="en-CN" w:eastAsia="zh-CN"/>
                      </w:rPr>
                      <m:t>IV</m:t>
                    </m:r>
                  </m:e>
                  <m:sub>
                    <m:r>
                      <w:rPr>
                        <w:rFonts w:ascii="Cambria Math" w:eastAsia="Times New Roman" w:hAnsi="Cambria Math" w:cs="Times New Roman"/>
                        <w:color w:val="212121"/>
                        <w:kern w:val="0"/>
                        <w:lang w:val="en-CN" w:eastAsia="zh-CN"/>
                      </w:rPr>
                      <m:t>t-1</m:t>
                    </m:r>
                  </m:sub>
                </m:sSub>
              </m:oMath>
            </m:oMathPara>
          </w:p>
        </w:tc>
        <w:tc>
          <w:tcPr>
            <w:tcW w:w="1963" w:type="dxa"/>
            <w:tcBorders>
              <w:top w:val="single" w:sz="4" w:space="0" w:color="auto"/>
              <w:left w:val="nil"/>
              <w:bottom w:val="single" w:sz="4" w:space="0" w:color="auto"/>
              <w:right w:val="nil"/>
            </w:tcBorders>
            <w:shd w:val="clear" w:color="auto" w:fill="E9EEF4"/>
            <w:tcMar>
              <w:top w:w="15" w:type="dxa"/>
              <w:left w:w="73" w:type="dxa"/>
              <w:bottom w:w="0" w:type="dxa"/>
              <w:right w:w="73" w:type="dxa"/>
            </w:tcMar>
            <w:hideMark/>
          </w:tcPr>
          <w:p w14:paraId="7C818894" w14:textId="77777777" w:rsidR="00B922CB" w:rsidRPr="00B922CB" w:rsidRDefault="00B922CB" w:rsidP="00B922CB">
            <w:pPr>
              <w:spacing w:before="80" w:line="240" w:lineRule="auto"/>
              <w:ind w:firstLine="0"/>
              <w:jc w:val="center"/>
              <w:rPr>
                <w:rFonts w:ascii="Times New Roman" w:eastAsia="Times New Roman" w:hAnsi="Times New Roman" w:cs="Times New Roman"/>
                <w:kern w:val="0"/>
                <w:lang w:val="en-CN" w:eastAsia="zh-CN"/>
              </w:rPr>
            </w:pPr>
            <w:r w:rsidRPr="00B922CB">
              <w:rPr>
                <w:rFonts w:ascii="Times New Roman" w:eastAsia="Times New Roman" w:hAnsi="Times New Roman" w:cs="Times New Roman"/>
                <w:i/>
                <w:iCs/>
                <w:kern w:val="0"/>
                <w:lang w:val="en-CN" w:eastAsia="zh-CN"/>
              </w:rPr>
              <w:t>Adj. R</w:t>
            </w:r>
            <w:r w:rsidRPr="00B922CB">
              <w:rPr>
                <w:rFonts w:ascii="Times New Roman" w:eastAsia="Times New Roman" w:hAnsi="Times New Roman" w:cs="Times New Roman"/>
                <w:i/>
                <w:iCs/>
                <w:kern w:val="0"/>
                <w:vertAlign w:val="superscript"/>
                <w:lang w:val="en-CN" w:eastAsia="zh-CN"/>
              </w:rPr>
              <w:t>2</w:t>
            </w:r>
          </w:p>
        </w:tc>
      </w:tr>
      <w:tr w:rsidR="00B922CB" w:rsidRPr="00B922CB" w14:paraId="1F7DD6C1" w14:textId="77777777" w:rsidTr="00866419">
        <w:trPr>
          <w:trHeight w:val="266"/>
        </w:trPr>
        <w:tc>
          <w:tcPr>
            <w:tcW w:w="1918" w:type="dxa"/>
            <w:tcBorders>
              <w:top w:val="single" w:sz="4" w:space="0" w:color="auto"/>
              <w:left w:val="nil"/>
              <w:bottom w:val="nil"/>
              <w:right w:val="nil"/>
            </w:tcBorders>
            <w:shd w:val="clear" w:color="auto" w:fill="auto"/>
            <w:tcMar>
              <w:top w:w="15" w:type="dxa"/>
              <w:left w:w="73" w:type="dxa"/>
              <w:bottom w:w="0" w:type="dxa"/>
              <w:right w:w="73" w:type="dxa"/>
            </w:tcMar>
            <w:hideMark/>
          </w:tcPr>
          <w:p w14:paraId="0975ABD9"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 xml:space="preserve">Full Sample </w:t>
            </w:r>
          </w:p>
        </w:tc>
        <w:tc>
          <w:tcPr>
            <w:tcW w:w="1481" w:type="dxa"/>
            <w:tcBorders>
              <w:top w:val="single" w:sz="4" w:space="0" w:color="auto"/>
              <w:left w:val="nil"/>
              <w:bottom w:val="nil"/>
              <w:right w:val="nil"/>
            </w:tcBorders>
            <w:shd w:val="clear" w:color="auto" w:fill="auto"/>
            <w:tcMar>
              <w:top w:w="15" w:type="dxa"/>
              <w:left w:w="73" w:type="dxa"/>
              <w:bottom w:w="0" w:type="dxa"/>
              <w:right w:w="73" w:type="dxa"/>
            </w:tcMar>
            <w:hideMark/>
          </w:tcPr>
          <w:p w14:paraId="024E4927"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4" w:space="0" w:color="auto"/>
              <w:left w:val="nil"/>
              <w:bottom w:val="nil"/>
              <w:right w:val="nil"/>
            </w:tcBorders>
            <w:shd w:val="clear" w:color="auto" w:fill="auto"/>
            <w:tcMar>
              <w:top w:w="15" w:type="dxa"/>
              <w:left w:w="108" w:type="dxa"/>
              <w:bottom w:w="0" w:type="dxa"/>
              <w:right w:w="108" w:type="dxa"/>
            </w:tcMar>
            <w:hideMark/>
          </w:tcPr>
          <w:p w14:paraId="1058FBD1"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0.498***</w:t>
            </w:r>
          </w:p>
        </w:tc>
        <w:tc>
          <w:tcPr>
            <w:tcW w:w="1965" w:type="dxa"/>
            <w:tcBorders>
              <w:top w:val="single" w:sz="4" w:space="0" w:color="auto"/>
              <w:left w:val="nil"/>
              <w:bottom w:val="nil"/>
              <w:right w:val="nil"/>
            </w:tcBorders>
            <w:shd w:val="clear" w:color="auto" w:fill="auto"/>
            <w:tcMar>
              <w:top w:w="15" w:type="dxa"/>
              <w:left w:w="108" w:type="dxa"/>
              <w:bottom w:w="0" w:type="dxa"/>
              <w:right w:w="108" w:type="dxa"/>
            </w:tcMar>
            <w:hideMark/>
          </w:tcPr>
          <w:p w14:paraId="40C13F92"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3" w:type="dxa"/>
            <w:tcBorders>
              <w:top w:val="single" w:sz="4" w:space="0" w:color="auto"/>
              <w:left w:val="nil"/>
              <w:bottom w:val="nil"/>
              <w:right w:val="nil"/>
            </w:tcBorders>
            <w:shd w:val="clear" w:color="auto" w:fill="auto"/>
            <w:tcMar>
              <w:top w:w="15" w:type="dxa"/>
              <w:left w:w="108" w:type="dxa"/>
              <w:bottom w:w="0" w:type="dxa"/>
              <w:right w:w="108" w:type="dxa"/>
            </w:tcMar>
            <w:hideMark/>
          </w:tcPr>
          <w:p w14:paraId="50B088D3"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0.3606</w:t>
            </w:r>
          </w:p>
        </w:tc>
      </w:tr>
      <w:tr w:rsidR="00B922CB" w:rsidRPr="00B922CB" w14:paraId="6AFD9440"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39A46442"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72A7100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0E1E53B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(17.591)</w:t>
            </w: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3C7DE9BF"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3"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57D178F"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r>
      <w:tr w:rsidR="00B922CB" w:rsidRPr="00B922CB" w14:paraId="54A143CA"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1D2D4A25"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6D8240AF"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38F87236"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2E42462E"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0.773***</w:t>
            </w:r>
          </w:p>
        </w:tc>
        <w:tc>
          <w:tcPr>
            <w:tcW w:w="1963"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3F8B0DE8"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0.5262</w:t>
            </w:r>
          </w:p>
        </w:tc>
      </w:tr>
      <w:tr w:rsidR="00B922CB" w:rsidRPr="00B922CB" w14:paraId="7291F24A"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49B2734D"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5DFE1F6C"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790852E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F60DACE"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(24.647)</w:t>
            </w:r>
          </w:p>
        </w:tc>
        <w:tc>
          <w:tcPr>
            <w:tcW w:w="1963"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51B6F2EB"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r>
      <w:tr w:rsidR="00B922CB" w:rsidRPr="00B922CB" w14:paraId="5339F582"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640907AD"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49786F5C"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2C54EB66"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0.074</w:t>
            </w: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50D76CC3"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0.697***</w:t>
            </w:r>
          </w:p>
        </w:tc>
        <w:tc>
          <w:tcPr>
            <w:tcW w:w="1963"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73746455"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0.5286</w:t>
            </w:r>
          </w:p>
        </w:tc>
      </w:tr>
      <w:tr w:rsidR="00B922CB" w:rsidRPr="00B922CB" w14:paraId="77736DC4" w14:textId="77777777" w:rsidTr="00866419">
        <w:trPr>
          <w:trHeight w:val="266"/>
        </w:trPr>
        <w:tc>
          <w:tcPr>
            <w:tcW w:w="1918" w:type="dxa"/>
            <w:tcBorders>
              <w:top w:val="nil"/>
              <w:left w:val="nil"/>
              <w:bottom w:val="single" w:sz="8" w:space="0" w:color="263248"/>
              <w:right w:val="nil"/>
            </w:tcBorders>
            <w:shd w:val="clear" w:color="auto" w:fill="auto"/>
            <w:tcMar>
              <w:top w:w="15" w:type="dxa"/>
              <w:left w:w="73" w:type="dxa"/>
              <w:bottom w:w="0" w:type="dxa"/>
              <w:right w:w="73" w:type="dxa"/>
            </w:tcMar>
            <w:hideMark/>
          </w:tcPr>
          <w:p w14:paraId="718C53F7"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single" w:sz="8" w:space="0" w:color="263248"/>
              <w:right w:val="nil"/>
            </w:tcBorders>
            <w:shd w:val="clear" w:color="auto" w:fill="auto"/>
            <w:tcMar>
              <w:top w:w="15" w:type="dxa"/>
              <w:left w:w="73" w:type="dxa"/>
              <w:bottom w:w="0" w:type="dxa"/>
              <w:right w:w="73" w:type="dxa"/>
            </w:tcMar>
            <w:hideMark/>
          </w:tcPr>
          <w:p w14:paraId="2F7E1F78"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148A1870"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(1.911)</w:t>
            </w: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10D82C00"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(13.985)</w:t>
            </w:r>
          </w:p>
        </w:tc>
        <w:tc>
          <w:tcPr>
            <w:tcW w:w="1963"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501CAF07"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r>
      <w:tr w:rsidR="00B922CB" w:rsidRPr="00B922CB" w14:paraId="51B4023E" w14:textId="77777777" w:rsidTr="00866419">
        <w:trPr>
          <w:trHeight w:val="266"/>
        </w:trPr>
        <w:tc>
          <w:tcPr>
            <w:tcW w:w="1918" w:type="dxa"/>
            <w:tcBorders>
              <w:top w:val="single" w:sz="8" w:space="0" w:color="263248"/>
              <w:left w:val="nil"/>
              <w:bottom w:val="nil"/>
              <w:right w:val="nil"/>
            </w:tcBorders>
            <w:shd w:val="clear" w:color="auto" w:fill="auto"/>
            <w:tcMar>
              <w:top w:w="15" w:type="dxa"/>
              <w:left w:w="73" w:type="dxa"/>
              <w:bottom w:w="0" w:type="dxa"/>
              <w:right w:w="73" w:type="dxa"/>
            </w:tcMar>
            <w:hideMark/>
          </w:tcPr>
          <w:p w14:paraId="2246EA52"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19/02/</w:t>
            </w:r>
            <w:r w:rsidRPr="00B922CB">
              <w:rPr>
                <w:rFonts w:ascii="Times New Roman" w:eastAsia="Times New Roman" w:hAnsi="Times New Roman" w:cs="Times New Roman"/>
                <w:kern w:val="0"/>
                <w:lang w:eastAsia="zh-CN"/>
              </w:rPr>
              <w:t>-</w:t>
            </w:r>
            <w:r w:rsidRPr="00B922CB">
              <w:rPr>
                <w:rFonts w:ascii="Times New Roman" w:eastAsia="Times New Roman" w:hAnsi="Times New Roman" w:cs="Times New Roman"/>
                <w:kern w:val="0"/>
                <w:lang w:val="en-CN" w:eastAsia="zh-CN"/>
              </w:rPr>
              <w:t>19/05</w:t>
            </w:r>
          </w:p>
        </w:tc>
        <w:tc>
          <w:tcPr>
            <w:tcW w:w="1481" w:type="dxa"/>
            <w:tcBorders>
              <w:top w:val="single" w:sz="8" w:space="0" w:color="263248"/>
              <w:left w:val="nil"/>
              <w:bottom w:val="nil"/>
              <w:right w:val="nil"/>
            </w:tcBorders>
            <w:shd w:val="clear" w:color="auto" w:fill="auto"/>
            <w:tcMar>
              <w:top w:w="15" w:type="dxa"/>
              <w:left w:w="73" w:type="dxa"/>
              <w:bottom w:w="0" w:type="dxa"/>
              <w:right w:w="73" w:type="dxa"/>
            </w:tcMar>
            <w:hideMark/>
          </w:tcPr>
          <w:p w14:paraId="159817D8"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6D77AF6"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0.38</w:t>
            </w:r>
            <w:r w:rsidRPr="00B922CB">
              <w:rPr>
                <w:rFonts w:ascii="Times New Roman" w:eastAsia="Times New Roman" w:hAnsi="Times New Roman" w:cs="Times New Roman"/>
                <w:kern w:val="0"/>
                <w:lang w:eastAsia="zh-CN"/>
              </w:rPr>
              <w:t>3</w:t>
            </w:r>
            <w:r w:rsidRPr="00B922CB">
              <w:rPr>
                <w:rFonts w:ascii="Times New Roman" w:eastAsia="Times New Roman" w:hAnsi="Times New Roman" w:cs="Times New Roman"/>
                <w:kern w:val="0"/>
                <w:lang w:val="en-CN" w:eastAsia="zh-CN"/>
              </w:rPr>
              <w:t>***</w:t>
            </w: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1394D968"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3"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50651A6F"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0.1398</w:t>
            </w:r>
          </w:p>
        </w:tc>
      </w:tr>
      <w:tr w:rsidR="00B922CB" w:rsidRPr="00B922CB" w14:paraId="23E39041"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01C6F046"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47FC688C"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3943A8C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(3.609)</w:t>
            </w: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73AE32E1"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3"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7CE2CD1B"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r>
      <w:tr w:rsidR="00B922CB" w:rsidRPr="00B922CB" w14:paraId="6E410F5A"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6C21C26F"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662D1EB3"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6BFF94F6"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47029CB3"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0.91</w:t>
            </w:r>
            <w:r w:rsidRPr="00B922CB">
              <w:rPr>
                <w:rFonts w:ascii="Times New Roman" w:eastAsia="Times New Roman" w:hAnsi="Times New Roman" w:cs="Times New Roman"/>
                <w:kern w:val="0"/>
                <w:lang w:eastAsia="zh-CN"/>
              </w:rPr>
              <w:t>9</w:t>
            </w:r>
            <w:r w:rsidRPr="00B922CB">
              <w:rPr>
                <w:rFonts w:ascii="Times New Roman" w:eastAsia="Times New Roman" w:hAnsi="Times New Roman" w:cs="Times New Roman"/>
                <w:kern w:val="0"/>
                <w:lang w:val="en-CN" w:eastAsia="zh-CN"/>
              </w:rPr>
              <w:t>***</w:t>
            </w:r>
          </w:p>
        </w:tc>
        <w:tc>
          <w:tcPr>
            <w:tcW w:w="1963"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4A42584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0.3774</w:t>
            </w:r>
          </w:p>
        </w:tc>
      </w:tr>
      <w:tr w:rsidR="00B922CB" w:rsidRPr="00B922CB" w14:paraId="15F1699B"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50F6EA0D"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2B7DE66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17FC52DD"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603952B"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(6.772)</w:t>
            </w:r>
          </w:p>
        </w:tc>
        <w:tc>
          <w:tcPr>
            <w:tcW w:w="1963"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127E64E5"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r>
      <w:tr w:rsidR="00B922CB" w:rsidRPr="00B922CB" w14:paraId="659843DA"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696D0C90"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1787E56E"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53795CC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-0.00</w:t>
            </w:r>
            <w:r w:rsidRPr="00B922CB">
              <w:rPr>
                <w:rFonts w:ascii="Times New Roman" w:eastAsia="Times New Roman" w:hAnsi="Times New Roman" w:cs="Times New Roman"/>
                <w:kern w:val="0"/>
                <w:lang w:eastAsia="zh-CN"/>
              </w:rPr>
              <w:t>7</w:t>
            </w: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71E8A0B2"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0.924***</w:t>
            </w:r>
          </w:p>
        </w:tc>
        <w:tc>
          <w:tcPr>
            <w:tcW w:w="1963"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469B02C"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0.3688</w:t>
            </w:r>
          </w:p>
        </w:tc>
      </w:tr>
      <w:tr w:rsidR="00B922CB" w:rsidRPr="00B922CB" w14:paraId="0D62C839" w14:textId="77777777" w:rsidTr="00866419">
        <w:trPr>
          <w:trHeight w:val="266"/>
        </w:trPr>
        <w:tc>
          <w:tcPr>
            <w:tcW w:w="1918" w:type="dxa"/>
            <w:tcBorders>
              <w:top w:val="nil"/>
              <w:left w:val="nil"/>
              <w:bottom w:val="single" w:sz="8" w:space="0" w:color="263248"/>
              <w:right w:val="nil"/>
            </w:tcBorders>
            <w:shd w:val="clear" w:color="auto" w:fill="auto"/>
            <w:tcMar>
              <w:top w:w="15" w:type="dxa"/>
              <w:left w:w="73" w:type="dxa"/>
              <w:bottom w:w="0" w:type="dxa"/>
              <w:right w:w="73" w:type="dxa"/>
            </w:tcMar>
            <w:hideMark/>
          </w:tcPr>
          <w:p w14:paraId="1D6FE10F"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single" w:sz="8" w:space="0" w:color="263248"/>
              <w:right w:val="nil"/>
            </w:tcBorders>
            <w:shd w:val="clear" w:color="auto" w:fill="auto"/>
            <w:tcMar>
              <w:top w:w="15" w:type="dxa"/>
              <w:left w:w="73" w:type="dxa"/>
              <w:bottom w:w="0" w:type="dxa"/>
              <w:right w:w="73" w:type="dxa"/>
            </w:tcMar>
            <w:hideMark/>
          </w:tcPr>
          <w:p w14:paraId="6819AE46"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3C3FAB9D"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(-0.059)</w:t>
            </w: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71A78D5C"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(5.243)</w:t>
            </w:r>
          </w:p>
        </w:tc>
        <w:tc>
          <w:tcPr>
            <w:tcW w:w="1963"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3E6EEC5"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r>
      <w:tr w:rsidR="00B922CB" w:rsidRPr="00B922CB" w14:paraId="68A24437" w14:textId="77777777" w:rsidTr="00866419">
        <w:trPr>
          <w:trHeight w:val="266"/>
        </w:trPr>
        <w:tc>
          <w:tcPr>
            <w:tcW w:w="1918" w:type="dxa"/>
            <w:tcBorders>
              <w:top w:val="single" w:sz="8" w:space="0" w:color="263248"/>
              <w:left w:val="nil"/>
              <w:bottom w:val="nil"/>
              <w:right w:val="nil"/>
            </w:tcBorders>
            <w:shd w:val="clear" w:color="auto" w:fill="auto"/>
            <w:tcMar>
              <w:top w:w="15" w:type="dxa"/>
              <w:left w:w="73" w:type="dxa"/>
              <w:bottom w:w="0" w:type="dxa"/>
              <w:right w:w="73" w:type="dxa"/>
            </w:tcMar>
            <w:hideMark/>
          </w:tcPr>
          <w:p w14:paraId="21A7DF37"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20/02/</w:t>
            </w:r>
            <w:r w:rsidRPr="00B922CB">
              <w:rPr>
                <w:rFonts w:ascii="Times New Roman" w:eastAsia="Times New Roman" w:hAnsi="Times New Roman" w:cs="Times New Roman"/>
                <w:kern w:val="0"/>
                <w:lang w:eastAsia="zh-CN"/>
              </w:rPr>
              <w:t>-</w:t>
            </w:r>
            <w:r w:rsidRPr="00B922CB">
              <w:rPr>
                <w:rFonts w:ascii="Times New Roman" w:eastAsia="Times New Roman" w:hAnsi="Times New Roman" w:cs="Times New Roman"/>
                <w:kern w:val="0"/>
                <w:lang w:val="en-CN" w:eastAsia="zh-CN"/>
              </w:rPr>
              <w:t>20/04</w:t>
            </w:r>
          </w:p>
        </w:tc>
        <w:tc>
          <w:tcPr>
            <w:tcW w:w="1481" w:type="dxa"/>
            <w:tcBorders>
              <w:top w:val="single" w:sz="8" w:space="0" w:color="263248"/>
              <w:left w:val="nil"/>
              <w:bottom w:val="nil"/>
              <w:right w:val="nil"/>
            </w:tcBorders>
            <w:shd w:val="clear" w:color="auto" w:fill="auto"/>
            <w:tcMar>
              <w:top w:w="15" w:type="dxa"/>
              <w:left w:w="73" w:type="dxa"/>
              <w:bottom w:w="0" w:type="dxa"/>
              <w:right w:w="73" w:type="dxa"/>
            </w:tcMar>
            <w:hideMark/>
          </w:tcPr>
          <w:p w14:paraId="402B16C6"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501582F2"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-0.117</w:t>
            </w: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644D4FA9"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3"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4F5E6C2"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-0.0133</w:t>
            </w:r>
          </w:p>
        </w:tc>
      </w:tr>
      <w:tr w:rsidR="00B922CB" w:rsidRPr="00B922CB" w14:paraId="5EA1DAA3"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341FE479"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468CBE6A"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2071B4C9"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(-0.650)</w:t>
            </w: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45315969"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3"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113FFB8C"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r>
      <w:tr w:rsidR="00B922CB" w:rsidRPr="00B922CB" w14:paraId="50F1E68F"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024D8293"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7296EF55"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236876FC"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 </w:t>
            </w: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79A969B3"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0.85</w:t>
            </w:r>
            <w:r w:rsidRPr="00B922CB">
              <w:rPr>
                <w:rFonts w:ascii="Times New Roman" w:eastAsia="Times New Roman" w:hAnsi="Times New Roman" w:cs="Times New Roman"/>
                <w:kern w:val="0"/>
                <w:lang w:eastAsia="zh-CN"/>
              </w:rPr>
              <w:t>5</w:t>
            </w:r>
            <w:r w:rsidRPr="00B922CB">
              <w:rPr>
                <w:rFonts w:ascii="Times New Roman" w:eastAsia="Times New Roman" w:hAnsi="Times New Roman" w:cs="Times New Roman"/>
                <w:kern w:val="0"/>
                <w:lang w:val="en-CN" w:eastAsia="zh-CN"/>
              </w:rPr>
              <w:t>***</w:t>
            </w:r>
          </w:p>
        </w:tc>
        <w:tc>
          <w:tcPr>
            <w:tcW w:w="1963"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7348F528"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0.5674</w:t>
            </w:r>
          </w:p>
        </w:tc>
      </w:tr>
      <w:tr w:rsidR="00B922CB" w:rsidRPr="00B922CB" w14:paraId="23AC7105"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6B26CC7F"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4A800817"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2CC3402F"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 </w:t>
            </w: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59821F2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(7.662)</w:t>
            </w:r>
          </w:p>
        </w:tc>
        <w:tc>
          <w:tcPr>
            <w:tcW w:w="1963"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6FF1A0A3"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r>
      <w:tr w:rsidR="00B922CB" w:rsidRPr="00B922CB" w14:paraId="5F724D27" w14:textId="77777777" w:rsidTr="00866419">
        <w:trPr>
          <w:trHeight w:val="266"/>
        </w:trPr>
        <w:tc>
          <w:tcPr>
            <w:tcW w:w="1918" w:type="dxa"/>
            <w:tcBorders>
              <w:top w:val="nil"/>
              <w:left w:val="nil"/>
              <w:bottom w:val="nil"/>
              <w:right w:val="nil"/>
            </w:tcBorders>
            <w:shd w:val="clear" w:color="auto" w:fill="auto"/>
            <w:tcMar>
              <w:top w:w="15" w:type="dxa"/>
              <w:left w:w="73" w:type="dxa"/>
              <w:bottom w:w="0" w:type="dxa"/>
              <w:right w:w="73" w:type="dxa"/>
            </w:tcMar>
            <w:hideMark/>
          </w:tcPr>
          <w:p w14:paraId="2978A48F"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nil"/>
              <w:right w:val="nil"/>
            </w:tcBorders>
            <w:shd w:val="clear" w:color="auto" w:fill="auto"/>
            <w:tcMar>
              <w:top w:w="15" w:type="dxa"/>
              <w:left w:w="73" w:type="dxa"/>
              <w:bottom w:w="0" w:type="dxa"/>
              <w:right w:w="73" w:type="dxa"/>
            </w:tcMar>
            <w:hideMark/>
          </w:tcPr>
          <w:p w14:paraId="144DD05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083DD9D8"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-0.061</w:t>
            </w:r>
          </w:p>
        </w:tc>
        <w:tc>
          <w:tcPr>
            <w:tcW w:w="1965"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47DAF73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0.851</w:t>
            </w:r>
            <w:r w:rsidRPr="00B922CB">
              <w:rPr>
                <w:rFonts w:ascii="Times New Roman" w:eastAsia="Times New Roman" w:hAnsi="Times New Roman" w:cs="Times New Roman"/>
                <w:kern w:val="0"/>
                <w:lang w:eastAsia="zh-CN"/>
              </w:rPr>
              <w:t>***</w:t>
            </w:r>
          </w:p>
        </w:tc>
        <w:tc>
          <w:tcPr>
            <w:tcW w:w="1963" w:type="dxa"/>
            <w:tcBorders>
              <w:top w:val="single" w:sz="8" w:space="0" w:color="263248"/>
              <w:left w:val="nil"/>
              <w:bottom w:val="nil"/>
              <w:right w:val="nil"/>
            </w:tcBorders>
            <w:shd w:val="clear" w:color="auto" w:fill="auto"/>
            <w:tcMar>
              <w:top w:w="15" w:type="dxa"/>
              <w:left w:w="108" w:type="dxa"/>
              <w:bottom w:w="0" w:type="dxa"/>
              <w:right w:w="108" w:type="dxa"/>
            </w:tcMar>
            <w:hideMark/>
          </w:tcPr>
          <w:p w14:paraId="364A6786"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0.5598</w:t>
            </w:r>
          </w:p>
        </w:tc>
      </w:tr>
      <w:tr w:rsidR="00B922CB" w:rsidRPr="00B922CB" w14:paraId="13E854EB" w14:textId="77777777" w:rsidTr="00866419">
        <w:trPr>
          <w:trHeight w:val="266"/>
        </w:trPr>
        <w:tc>
          <w:tcPr>
            <w:tcW w:w="1918" w:type="dxa"/>
            <w:tcBorders>
              <w:top w:val="nil"/>
              <w:left w:val="nil"/>
              <w:bottom w:val="single" w:sz="8" w:space="0" w:color="263248"/>
              <w:right w:val="nil"/>
            </w:tcBorders>
            <w:shd w:val="clear" w:color="auto" w:fill="auto"/>
            <w:tcMar>
              <w:top w:w="15" w:type="dxa"/>
              <w:left w:w="73" w:type="dxa"/>
              <w:bottom w:w="0" w:type="dxa"/>
              <w:right w:w="73" w:type="dxa"/>
            </w:tcMar>
            <w:hideMark/>
          </w:tcPr>
          <w:p w14:paraId="3F06CA54"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481" w:type="dxa"/>
            <w:tcBorders>
              <w:top w:val="nil"/>
              <w:left w:val="nil"/>
              <w:bottom w:val="single" w:sz="8" w:space="0" w:color="263248"/>
              <w:right w:val="nil"/>
            </w:tcBorders>
            <w:shd w:val="clear" w:color="auto" w:fill="auto"/>
            <w:tcMar>
              <w:top w:w="15" w:type="dxa"/>
              <w:left w:w="73" w:type="dxa"/>
              <w:bottom w:w="0" w:type="dxa"/>
              <w:right w:w="73" w:type="dxa"/>
            </w:tcMar>
            <w:hideMark/>
          </w:tcPr>
          <w:p w14:paraId="028CC758"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6DC831BD"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val="en-CN" w:eastAsia="zh-CN"/>
              </w:rPr>
              <w:t>(-0.512)</w:t>
            </w:r>
          </w:p>
        </w:tc>
        <w:tc>
          <w:tcPr>
            <w:tcW w:w="1965"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34291766"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r w:rsidRPr="00B922CB">
              <w:rPr>
                <w:rFonts w:ascii="Times New Roman" w:eastAsia="Times New Roman" w:hAnsi="Times New Roman" w:cs="Times New Roman"/>
                <w:kern w:val="0"/>
                <w:lang w:eastAsia="zh-CN"/>
              </w:rPr>
              <w:t>(7.549)</w:t>
            </w:r>
          </w:p>
        </w:tc>
        <w:tc>
          <w:tcPr>
            <w:tcW w:w="1963" w:type="dxa"/>
            <w:tcBorders>
              <w:top w:val="nil"/>
              <w:left w:val="nil"/>
              <w:bottom w:val="single" w:sz="8" w:space="0" w:color="263248"/>
              <w:right w:val="nil"/>
            </w:tcBorders>
            <w:shd w:val="clear" w:color="auto" w:fill="auto"/>
            <w:tcMar>
              <w:top w:w="15" w:type="dxa"/>
              <w:left w:w="108" w:type="dxa"/>
              <w:bottom w:w="0" w:type="dxa"/>
              <w:right w:w="108" w:type="dxa"/>
            </w:tcMar>
            <w:hideMark/>
          </w:tcPr>
          <w:p w14:paraId="277378A7" w14:textId="77777777" w:rsidR="00B922CB" w:rsidRPr="00B922CB" w:rsidRDefault="00B922CB" w:rsidP="00B922CB">
            <w:pPr>
              <w:spacing w:before="80" w:line="240" w:lineRule="auto"/>
              <w:ind w:firstLine="0"/>
              <w:rPr>
                <w:rFonts w:ascii="Times New Roman" w:eastAsia="Times New Roman" w:hAnsi="Times New Roman" w:cs="Times New Roman"/>
                <w:kern w:val="0"/>
                <w:lang w:val="en-CN" w:eastAsia="zh-CN"/>
              </w:rPr>
            </w:pPr>
          </w:p>
        </w:tc>
      </w:tr>
    </w:tbl>
    <w:p w14:paraId="30F23822" w14:textId="77777777" w:rsidR="00C024B0" w:rsidRPr="00C024B0" w:rsidRDefault="00C024B0" w:rsidP="0042393E">
      <w:pPr>
        <w:spacing w:before="40" w:line="240" w:lineRule="auto"/>
        <w:ind w:firstLine="0"/>
        <w:rPr>
          <w:rFonts w:ascii="Times New Roman" w:eastAsia="Times New Roman" w:hAnsi="Times New Roman" w:cs="Times New Roman"/>
          <w:kern w:val="0"/>
          <w:sz w:val="20"/>
          <w:szCs w:val="20"/>
          <w:lang w:eastAsia="zh-CN"/>
        </w:rPr>
      </w:pPr>
      <w:r w:rsidRPr="00C024B0">
        <w:rPr>
          <w:rFonts w:ascii="Times New Roman" w:eastAsia="Times New Roman" w:hAnsi="Times New Roman" w:cs="Times New Roman"/>
          <w:kern w:val="0"/>
          <w:sz w:val="20"/>
          <w:szCs w:val="20"/>
          <w:lang w:eastAsia="zh-CN"/>
        </w:rPr>
        <w:t xml:space="preserve">Notes: Table 4 presents the results of the prediction regressions using IV vs. GARCH (1,1) forecasted volatility estimates. The full sample is from January 2, 2018 to April 3, 2020, and two subsamples are selected. Subsample 1 is from February 11, 2019 to May 31, 2019; and subsample 2 is from February 3, 2020 to April 3, 2020. The t values (in parentheses are based on the Newey and West (1987) standard errors. </w:t>
      </w:r>
    </w:p>
    <w:p w14:paraId="2020AAA9" w14:textId="57603270" w:rsidR="00B922CB" w:rsidRPr="00C024B0" w:rsidRDefault="00C024B0" w:rsidP="0042393E">
      <w:pPr>
        <w:spacing w:before="40" w:line="240" w:lineRule="auto"/>
        <w:ind w:firstLine="0"/>
        <w:rPr>
          <w:rFonts w:ascii="Times New Roman" w:eastAsia="Times New Roman" w:hAnsi="Times New Roman" w:cs="Times New Roman"/>
          <w:kern w:val="0"/>
          <w:sz w:val="20"/>
          <w:szCs w:val="20"/>
          <w:lang w:eastAsia="zh-CN"/>
        </w:rPr>
      </w:pPr>
      <w:r w:rsidRPr="00C024B0">
        <w:rPr>
          <w:rFonts w:ascii="Times New Roman" w:eastAsia="Times New Roman" w:hAnsi="Times New Roman" w:cs="Times New Roman"/>
          <w:kern w:val="0"/>
          <w:sz w:val="20"/>
          <w:szCs w:val="20"/>
          <w:lang w:eastAsia="zh-CN"/>
        </w:rPr>
        <w:t>***, ** and * denote the statistical significance at 1%, 5% and 10% levels respectively.</w:t>
      </w:r>
    </w:p>
    <w:p w14:paraId="10780C64" w14:textId="77777777" w:rsidR="00853210" w:rsidRDefault="00853210" w:rsidP="00C024B0">
      <w:pPr>
        <w:ind w:firstLine="0"/>
        <w:rPr>
          <w:rFonts w:ascii="Times New Roman" w:eastAsia="Times New Roman" w:hAnsi="Times New Roman" w:cs="Times New Roman"/>
          <w:kern w:val="0"/>
          <w:lang w:eastAsia="zh-CN"/>
        </w:rPr>
      </w:pPr>
    </w:p>
    <w:p w14:paraId="5F29D219" w14:textId="29DBAFEB" w:rsidR="001E5356" w:rsidRPr="00C024B0" w:rsidRDefault="005032C6" w:rsidP="00853210">
      <w:pPr>
        <w:rPr>
          <w:rFonts w:ascii="Times New Roman" w:eastAsia="Times New Roman" w:hAnsi="Times New Roman" w:cs="Times New Roman"/>
          <w:kern w:val="0"/>
          <w:lang w:eastAsia="zh-CN"/>
        </w:rPr>
      </w:pPr>
      <w:r w:rsidRPr="0053254D">
        <w:rPr>
          <w:rFonts w:ascii="Times New Roman" w:eastAsia="Times New Roman" w:hAnsi="Times New Roman" w:cs="Times New Roman"/>
        </w:rPr>
        <w:t xml:space="preserve">This subsection discusses the results obtained from regressing </w:t>
      </w:r>
      <m:oMath>
        <m:r>
          <w:rPr>
            <w:rFonts w:ascii="Cambria Math" w:hAnsi="Cambria Math"/>
            <w:color w:val="212121"/>
          </w:rPr>
          <m:t>R</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m:t>
            </m:r>
          </m:sub>
        </m:sSub>
      </m:oMath>
      <w:r>
        <w:rPr>
          <w:iCs/>
          <w:color w:val="212121"/>
        </w:rPr>
        <w:t xml:space="preserve"> </w:t>
      </w:r>
      <w:r w:rsidRPr="0053254D">
        <w:rPr>
          <w:rFonts w:ascii="Times New Roman" w:eastAsia="Times New Roman" w:hAnsi="Times New Roman" w:cs="Times New Roman"/>
        </w:rPr>
        <w:t>o</w:t>
      </w:r>
      <w:r>
        <w:t>n</w:t>
      </w:r>
      <w:r w:rsidRPr="0053254D">
        <w:rPr>
          <w:rFonts w:ascii="Times New Roman" w:eastAsia="Times New Roman" w:hAnsi="Times New Roman" w:cs="Times New Roman"/>
        </w:rPr>
        <w:t xml:space="preserve"> GARCH</w:t>
      </w:r>
      <w:r>
        <w:t xml:space="preserve"> (1,1)</w:t>
      </w:r>
      <w:r w:rsidRPr="0053254D">
        <w:rPr>
          <w:rFonts w:ascii="Times New Roman" w:eastAsia="Times New Roman" w:hAnsi="Times New Roman" w:cs="Times New Roman"/>
        </w:rPr>
        <w:t xml:space="preserve"> forecasted</w:t>
      </w:r>
      <w:r>
        <w:t xml:space="preserve"> v</w:t>
      </w:r>
      <w:r w:rsidRPr="0053254D">
        <w:rPr>
          <w:rFonts w:ascii="Times New Roman" w:eastAsia="Times New Roman" w:hAnsi="Times New Roman" w:cs="Times New Roman"/>
        </w:rPr>
        <w:t>olatility</w:t>
      </w:r>
      <w:r>
        <w:t xml:space="preserve"> </w:t>
      </w:r>
      <m:oMath>
        <m:sSub>
          <m:sSubPr>
            <m:ctrlPr>
              <w:rPr>
                <w:rFonts w:ascii="Cambria Math" w:hAnsi="Cambria Math"/>
                <w:i/>
                <w:iCs/>
              </w:rPr>
            </m:ctrlPr>
          </m:sSubPr>
          <m:e>
            <m:r>
              <w:rPr>
                <w:rFonts w:ascii="Cambria Math" w:hAnsi="Cambria Math"/>
              </w:rPr>
              <m:t>σ</m:t>
            </m:r>
          </m:e>
          <m:sub>
            <m:r>
              <w:rPr>
                <w:rFonts w:ascii="Cambria Math" w:hAnsi="Cambria Math"/>
              </w:rPr>
              <m:t>GARCH,t</m:t>
            </m:r>
          </m:sub>
        </m:sSub>
      </m:oMath>
      <w:r>
        <w:rPr>
          <w:iCs/>
        </w:rPr>
        <w:t xml:space="preserve"> and compares with the previous predictive regressions using implied volatility.  As shown in Table 4, </w:t>
      </w:r>
      <m:oMath>
        <m:sSub>
          <m:sSubPr>
            <m:ctrlPr>
              <w:rPr>
                <w:rFonts w:ascii="Cambria Math" w:hAnsi="Cambria Math"/>
                <w:i/>
                <w:iCs/>
              </w:rPr>
            </m:ctrlPr>
          </m:sSubPr>
          <m:e>
            <m:r>
              <w:rPr>
                <w:rFonts w:ascii="Cambria Math" w:hAnsi="Cambria Math"/>
              </w:rPr>
              <m:t>σ</m:t>
            </m:r>
          </m:e>
          <m:sub>
            <m:r>
              <w:rPr>
                <w:rFonts w:ascii="Cambria Math" w:hAnsi="Cambria Math"/>
              </w:rPr>
              <m:t>GARCH,t</m:t>
            </m:r>
          </m:sub>
        </m:sSub>
      </m:oMath>
      <w:r>
        <w:rPr>
          <w:iCs/>
        </w:rPr>
        <w:t xml:space="preserve"> contains predictive power for future realized volatility. In the full sample, </w:t>
      </w:r>
      <m:oMath>
        <m:sSub>
          <m:sSubPr>
            <m:ctrlPr>
              <w:rPr>
                <w:rFonts w:ascii="Cambria Math" w:hAnsi="Cambria Math"/>
                <w:i/>
                <w:iCs/>
              </w:rPr>
            </m:ctrlPr>
          </m:sSubPr>
          <m:e>
            <m:r>
              <w:rPr>
                <w:rFonts w:ascii="Cambria Math" w:hAnsi="Cambria Math"/>
              </w:rPr>
              <m:t>σ</m:t>
            </m:r>
          </m:e>
          <m:sub>
            <m:r>
              <w:rPr>
                <w:rFonts w:ascii="Cambria Math" w:hAnsi="Cambria Math"/>
              </w:rPr>
              <m:t>GARCH,t</m:t>
            </m:r>
          </m:sub>
        </m:sSub>
      </m:oMath>
      <w:r>
        <w:rPr>
          <w:iCs/>
        </w:rPr>
        <w:t xml:space="preserve"> has a coefficient of 0.498 at the significance of 1%, and the value of adjusted R-squared is 0.3606</w:t>
      </w:r>
      <w:r w:rsidR="00F441A5">
        <w:rPr>
          <w:iCs/>
        </w:rPr>
        <w:t xml:space="preserve">; and in subsample 1, </w:t>
      </w:r>
      <m:oMath>
        <m:sSub>
          <m:sSubPr>
            <m:ctrlPr>
              <w:rPr>
                <w:rFonts w:ascii="Cambria Math" w:hAnsi="Cambria Math"/>
                <w:i/>
                <w:iCs/>
              </w:rPr>
            </m:ctrlPr>
          </m:sSubPr>
          <m:e>
            <m:r>
              <w:rPr>
                <w:rFonts w:ascii="Cambria Math" w:hAnsi="Cambria Math"/>
              </w:rPr>
              <m:t>σ</m:t>
            </m:r>
          </m:e>
          <m:sub>
            <m:r>
              <w:rPr>
                <w:rFonts w:ascii="Cambria Math" w:hAnsi="Cambria Math"/>
              </w:rPr>
              <m:t>GARCH,t</m:t>
            </m:r>
          </m:sub>
        </m:sSub>
      </m:oMath>
      <w:r w:rsidR="00F441A5">
        <w:rPr>
          <w:iCs/>
        </w:rPr>
        <w:t xml:space="preserve"> has a coefficient of 0.383 also at the significance of 1%. </w:t>
      </w:r>
      <w:r>
        <w:rPr>
          <w:iCs/>
        </w:rPr>
        <w:t xml:space="preserve">Compared to the predictive regression </w:t>
      </w:r>
      <w:r>
        <w:t xml:space="preserve">using </w:t>
      </w:r>
      <m:oMath>
        <m:sSub>
          <m:sSubPr>
            <m:ctrlPr>
              <w:rPr>
                <w:rFonts w:ascii="Cambria Math" w:eastAsia="Times New Roman" w:hAnsi="Cambria Math" w:cs="Times New Roman"/>
                <w:kern w:val="0"/>
                <w:lang w:eastAsia="zh-CN"/>
              </w:rPr>
            </m:ctrlPr>
          </m:sSubPr>
          <m:e>
            <m:r>
              <w:rPr>
                <w:rFonts w:ascii="Cambria Math" w:eastAsia="Times New Roman" w:hAnsi="Cambria Math" w:cs="Times New Roman"/>
                <w:kern w:val="0"/>
                <w:lang w:eastAsia="zh-CN"/>
              </w:rPr>
              <m:t>IV</m:t>
            </m:r>
          </m:e>
          <m:sub>
            <m:r>
              <w:rPr>
                <w:rFonts w:ascii="Cambria Math" w:eastAsia="Times New Roman" w:hAnsi="Cambria Math" w:cs="Times New Roman"/>
                <w:kern w:val="0"/>
                <w:lang w:eastAsia="zh-CN"/>
              </w:rPr>
              <m:t>t</m:t>
            </m:r>
            <m:r>
              <m:rPr>
                <m:sty m:val="p"/>
              </m:rPr>
              <w:rPr>
                <w:rFonts w:ascii="Cambria Math" w:eastAsia="Times New Roman" w:hAnsi="Cambria Math" w:cs="Times New Roman"/>
                <w:kern w:val="0"/>
                <w:lang w:eastAsia="zh-CN"/>
              </w:rPr>
              <m:t>-1</m:t>
            </m:r>
          </m:sub>
        </m:sSub>
      </m:oMath>
      <w:r w:rsidRPr="00824A49">
        <w:rPr>
          <w:rFonts w:ascii="Times New Roman" w:eastAsia="Times New Roman" w:hAnsi="Times New Roman" w:cs="Times New Roman"/>
          <w:kern w:val="0"/>
          <w:lang w:eastAsia="zh-CN"/>
        </w:rPr>
        <w:t xml:space="preserve"> </w:t>
      </w:r>
      <w:r>
        <w:t xml:space="preserve">as a single regressor, where </w:t>
      </w:r>
      <w:r>
        <w:rPr>
          <w:iCs/>
        </w:rPr>
        <w:t xml:space="preserve">the value of adjusted R-squared is </w:t>
      </w:r>
      <w:r w:rsidRPr="00956DB2">
        <w:t>0.5262</w:t>
      </w:r>
      <w:r w:rsidR="00F441A5">
        <w:t xml:space="preserve"> for the full sample regression</w:t>
      </w:r>
      <w:r>
        <w:t xml:space="preserve">, </w:t>
      </w:r>
      <m:oMath>
        <m:sSub>
          <m:sSubPr>
            <m:ctrlPr>
              <w:rPr>
                <w:rFonts w:ascii="Cambria Math" w:hAnsi="Cambria Math"/>
                <w:i/>
                <w:iCs/>
              </w:rPr>
            </m:ctrlPr>
          </m:sSubPr>
          <m:e>
            <m:r>
              <w:rPr>
                <w:rFonts w:ascii="Cambria Math" w:hAnsi="Cambria Math"/>
              </w:rPr>
              <m:t>σ</m:t>
            </m:r>
          </m:e>
          <m:sub>
            <m:r>
              <w:rPr>
                <w:rFonts w:ascii="Cambria Math" w:hAnsi="Cambria Math"/>
              </w:rPr>
              <m:t>GARCH,t</m:t>
            </m:r>
          </m:sub>
        </m:sSub>
      </m:oMath>
      <w:r>
        <w:rPr>
          <w:iCs/>
        </w:rPr>
        <w:t xml:space="preserve"> may have weaker predictive power than </w:t>
      </w:r>
      <m:oMath>
        <m:sSub>
          <m:sSubPr>
            <m:ctrlPr>
              <w:rPr>
                <w:rFonts w:ascii="Cambria Math" w:eastAsia="Times New Roman" w:hAnsi="Cambria Math" w:cs="Times New Roman"/>
                <w:kern w:val="0"/>
                <w:lang w:eastAsia="zh-CN"/>
              </w:rPr>
            </m:ctrlPr>
          </m:sSubPr>
          <m:e>
            <m:r>
              <w:rPr>
                <w:rFonts w:ascii="Cambria Math" w:eastAsia="Times New Roman" w:hAnsi="Cambria Math" w:cs="Times New Roman"/>
                <w:kern w:val="0"/>
                <w:lang w:eastAsia="zh-CN"/>
              </w:rPr>
              <m:t>IV</m:t>
            </m:r>
          </m:e>
          <m:sub>
            <m:r>
              <w:rPr>
                <w:rFonts w:ascii="Cambria Math" w:eastAsia="Times New Roman" w:hAnsi="Cambria Math" w:cs="Times New Roman"/>
                <w:kern w:val="0"/>
                <w:lang w:eastAsia="zh-CN"/>
              </w:rPr>
              <m:t>t</m:t>
            </m:r>
            <m:r>
              <m:rPr>
                <m:sty m:val="p"/>
              </m:rPr>
              <w:rPr>
                <w:rFonts w:ascii="Cambria Math" w:eastAsia="Times New Roman" w:hAnsi="Cambria Math" w:cs="Times New Roman"/>
                <w:kern w:val="0"/>
                <w:lang w:eastAsia="zh-CN"/>
              </w:rPr>
              <m:t>-1</m:t>
            </m:r>
          </m:sub>
        </m:sSub>
      </m:oMath>
      <w:r>
        <w:t xml:space="preserve">. </w:t>
      </w:r>
      <w:r w:rsidR="00C979FD">
        <w:t xml:space="preserve">Similar evidence can be found in the results of regression model: </w:t>
      </w:r>
      <m:oMath>
        <m:sSub>
          <m:sSubPr>
            <m:ctrlPr>
              <w:rPr>
                <w:rFonts w:ascii="Cambria Math" w:hAnsi="Cambria Math"/>
                <w:i/>
                <w:color w:val="212121"/>
              </w:rPr>
            </m:ctrlPr>
          </m:sSubPr>
          <m:e>
            <m:r>
              <w:rPr>
                <w:rFonts w:ascii="Cambria Math" w:hAnsi="Cambria Math"/>
                <w:color w:val="212121"/>
              </w:rPr>
              <m:t>RV</m:t>
            </m:r>
          </m:e>
          <m:sub>
            <m:r>
              <w:rPr>
                <w:rFonts w:ascii="Cambria Math" w:hAnsi="Cambria Math"/>
                <w:color w:val="212121"/>
              </w:rPr>
              <m:t>t</m:t>
            </m:r>
          </m:sub>
        </m:sSub>
        <m:r>
          <w:rPr>
            <w:rFonts w:ascii="Cambria Math" w:hAnsi="Cambria Math"/>
            <w:color w:val="212121"/>
          </w:rPr>
          <m:t>=α+</m:t>
        </m:r>
        <m:sSub>
          <m:sSubPr>
            <m:ctrlPr>
              <w:rPr>
                <w:rFonts w:ascii="Cambria Math" w:hAnsi="Cambria Math"/>
                <w:i/>
                <w:color w:val="212121"/>
              </w:rPr>
            </m:ctrlPr>
          </m:sSubPr>
          <m:e>
            <m:r>
              <w:rPr>
                <w:rFonts w:ascii="Cambria Math" w:hAnsi="Cambria Math"/>
                <w:color w:val="212121"/>
              </w:rPr>
              <m:t>β</m:t>
            </m:r>
          </m:e>
          <m:sub>
            <m:r>
              <w:rPr>
                <w:rFonts w:ascii="Cambria Math" w:hAnsi="Cambria Math"/>
                <w:color w:val="212121"/>
              </w:rPr>
              <m:t>1</m:t>
            </m:r>
          </m:sub>
        </m:sSub>
        <m:r>
          <w:rPr>
            <w:rFonts w:ascii="Cambria Math" w:hAnsi="Cambria Math"/>
            <w:color w:val="212121"/>
          </w:rPr>
          <m:t>I</m:t>
        </m:r>
        <m:sSub>
          <m:sSubPr>
            <m:ctrlPr>
              <w:rPr>
                <w:rFonts w:ascii="Cambria Math" w:hAnsi="Cambria Math"/>
                <w:i/>
                <w:color w:val="212121"/>
              </w:rPr>
            </m:ctrlPr>
          </m:sSubPr>
          <m:e>
            <m:r>
              <w:rPr>
                <w:rFonts w:ascii="Cambria Math" w:hAnsi="Cambria Math"/>
                <w:color w:val="212121"/>
              </w:rPr>
              <m:t>V</m:t>
            </m:r>
          </m:e>
          <m:sub>
            <m:r>
              <w:rPr>
                <w:rFonts w:ascii="Cambria Math" w:hAnsi="Cambria Math"/>
                <w:color w:val="212121"/>
              </w:rPr>
              <m:t>t-1</m:t>
            </m:r>
          </m:sub>
        </m:sSub>
        <m:r>
          <w:rPr>
            <w:rFonts w:ascii="Cambria Math" w:hAnsi="Cambria Math"/>
            <w:color w:val="212121"/>
          </w:rPr>
          <m:t>+</m:t>
        </m:r>
        <m:sSub>
          <m:sSubPr>
            <m:ctrlPr>
              <w:rPr>
                <w:rFonts w:ascii="Cambria Math" w:hAnsi="Cambria Math"/>
                <w:i/>
                <w:color w:val="212121"/>
              </w:rPr>
            </m:ctrlPr>
          </m:sSubPr>
          <m:e>
            <m:r>
              <w:rPr>
                <w:rFonts w:ascii="Cambria Math" w:hAnsi="Cambria Math"/>
                <w:color w:val="212121"/>
              </w:rPr>
              <m:t>β</m:t>
            </m:r>
          </m:e>
          <m:sub>
            <m:r>
              <w:rPr>
                <w:rFonts w:ascii="Cambria Math" w:hAnsi="Cambria Math"/>
                <w:color w:val="212121"/>
              </w:rPr>
              <m:t>2</m:t>
            </m:r>
          </m:sub>
        </m:sSub>
        <m:sSub>
          <m:sSubPr>
            <m:ctrlPr>
              <w:rPr>
                <w:rFonts w:ascii="Cambria Math" w:hAnsi="Cambria Math"/>
                <w:i/>
                <w:color w:val="212121"/>
              </w:rPr>
            </m:ctrlPr>
          </m:sSubPr>
          <m:e>
            <m:r>
              <w:rPr>
                <w:rFonts w:ascii="Cambria Math" w:hAnsi="Cambria Math"/>
                <w:color w:val="212121"/>
              </w:rPr>
              <m:t>σ</m:t>
            </m:r>
          </m:e>
          <m:sub>
            <m:r>
              <w:rPr>
                <w:rFonts w:ascii="Cambria Math" w:hAnsi="Cambria Math"/>
                <w:color w:val="212121"/>
              </w:rPr>
              <m:t>GARCH,t</m:t>
            </m:r>
          </m:sub>
        </m:sSub>
        <m:r>
          <w:rPr>
            <w:rFonts w:ascii="Cambria Math" w:hAnsi="Cambria Math"/>
            <w:color w:val="212121"/>
          </w:rPr>
          <m:t>+</m:t>
        </m:r>
        <m:sSub>
          <m:sSubPr>
            <m:ctrlPr>
              <w:rPr>
                <w:rFonts w:ascii="Cambria Math" w:hAnsi="Cambria Math"/>
                <w:i/>
                <w:color w:val="212121"/>
              </w:rPr>
            </m:ctrlPr>
          </m:sSubPr>
          <m:e>
            <m:r>
              <w:rPr>
                <w:rFonts w:ascii="Cambria Math" w:hAnsi="Cambria Math"/>
                <w:color w:val="212121"/>
              </w:rPr>
              <m:t>ε</m:t>
            </m:r>
          </m:e>
          <m:sub>
            <m:r>
              <w:rPr>
                <w:rFonts w:ascii="Cambria Math" w:hAnsi="Cambria Math"/>
                <w:color w:val="212121"/>
              </w:rPr>
              <m:t>t</m:t>
            </m:r>
          </m:sub>
        </m:sSub>
        <m:r>
          <w:rPr>
            <w:rFonts w:ascii="Cambria Math" w:hAnsi="Cambria Math"/>
            <w:color w:val="212121"/>
          </w:rPr>
          <m:t xml:space="preserve">. </m:t>
        </m:r>
      </m:oMath>
      <w:r>
        <w:t>In th</w:t>
      </w:r>
      <w:r w:rsidR="00C979FD">
        <w:t xml:space="preserve">is </w:t>
      </w:r>
      <w:r>
        <w:t xml:space="preserve">multivariate regression, </w:t>
      </w:r>
      <m:oMath>
        <m:sSub>
          <m:sSubPr>
            <m:ctrlPr>
              <w:rPr>
                <w:rFonts w:ascii="Cambria Math" w:hAnsi="Cambria Math"/>
                <w:i/>
                <w:iCs/>
              </w:rPr>
            </m:ctrlPr>
          </m:sSubPr>
          <m:e>
            <m:r>
              <w:rPr>
                <w:rFonts w:ascii="Cambria Math" w:hAnsi="Cambria Math"/>
              </w:rPr>
              <m:t>σ</m:t>
            </m:r>
          </m:e>
          <m:sub>
            <m:r>
              <w:rPr>
                <w:rFonts w:ascii="Cambria Math" w:hAnsi="Cambria Math"/>
              </w:rPr>
              <m:t>GARCH,t</m:t>
            </m:r>
          </m:sub>
        </m:sSub>
      </m:oMath>
      <w:r>
        <w:rPr>
          <w:iCs/>
        </w:rPr>
        <w:t xml:space="preserve"> becomes insignificant and the adjusted R-squared of this multivariate regression only from 0.5262 to </w:t>
      </w:r>
      <w:r w:rsidRPr="00956DB2">
        <w:t>0.5286</w:t>
      </w:r>
      <w:r>
        <w:t xml:space="preserve">. This also indicates that </w:t>
      </w:r>
      <w:r>
        <w:rPr>
          <w:iCs/>
        </w:rPr>
        <w:t xml:space="preserve"> </w:t>
      </w:r>
      <m:oMath>
        <m:sSub>
          <m:sSubPr>
            <m:ctrlPr>
              <w:rPr>
                <w:rFonts w:ascii="Cambria Math" w:eastAsia="Times New Roman" w:hAnsi="Cambria Math" w:cs="Times New Roman"/>
                <w:kern w:val="0"/>
                <w:lang w:eastAsia="zh-CN"/>
              </w:rPr>
            </m:ctrlPr>
          </m:sSubPr>
          <m:e>
            <m:r>
              <w:rPr>
                <w:rFonts w:ascii="Cambria Math" w:eastAsia="Times New Roman" w:hAnsi="Cambria Math" w:cs="Times New Roman"/>
                <w:kern w:val="0"/>
                <w:lang w:eastAsia="zh-CN"/>
              </w:rPr>
              <m:t>IV</m:t>
            </m:r>
          </m:e>
          <m:sub>
            <m:r>
              <w:rPr>
                <w:rFonts w:ascii="Cambria Math" w:eastAsia="Times New Roman" w:hAnsi="Cambria Math" w:cs="Times New Roman"/>
                <w:kern w:val="0"/>
                <w:lang w:eastAsia="zh-CN"/>
              </w:rPr>
              <m:t>t</m:t>
            </m:r>
            <m:r>
              <m:rPr>
                <m:sty m:val="p"/>
              </m:rPr>
              <w:rPr>
                <w:rFonts w:ascii="Cambria Math" w:eastAsia="Times New Roman" w:hAnsi="Cambria Math" w:cs="Times New Roman"/>
                <w:kern w:val="0"/>
                <w:lang w:eastAsia="zh-CN"/>
              </w:rPr>
              <m:t>-1</m:t>
            </m:r>
          </m:sub>
        </m:sSub>
      </m:oMath>
      <w:r>
        <w:t xml:space="preserve"> </w:t>
      </w:r>
      <w:r w:rsidR="009B4EA1">
        <w:t>is</w:t>
      </w:r>
      <w:r w:rsidR="00B93EF9">
        <w:t xml:space="preserve"> a superior</w:t>
      </w:r>
      <w:r w:rsidR="009B4EA1">
        <w:t xml:space="preserve"> </w:t>
      </w:r>
      <w:r w:rsidR="009B4EA1">
        <w:rPr>
          <w:lang w:eastAsia="zh-CN"/>
        </w:rPr>
        <w:t xml:space="preserve">predictor </w:t>
      </w:r>
      <w:r>
        <w:t xml:space="preserve">for </w:t>
      </w:r>
      <m:oMath>
        <m:r>
          <w:rPr>
            <w:rFonts w:ascii="Cambria Math" w:hAnsi="Cambria Math"/>
            <w:color w:val="212121"/>
          </w:rPr>
          <m:t>R</m:t>
        </m:r>
        <m:sSub>
          <m:sSubPr>
            <m:ctrlPr>
              <w:rPr>
                <w:rFonts w:ascii="Cambria Math" w:hAnsi="Cambria Math"/>
                <w:i/>
                <w:iCs/>
                <w:color w:val="212121"/>
              </w:rPr>
            </m:ctrlPr>
          </m:sSubPr>
          <m:e>
            <m:r>
              <w:rPr>
                <w:rFonts w:ascii="Cambria Math" w:hAnsi="Cambria Math"/>
                <w:color w:val="212121"/>
              </w:rPr>
              <m:t>V</m:t>
            </m:r>
          </m:e>
          <m:sub>
            <m:r>
              <w:rPr>
                <w:rFonts w:ascii="Cambria Math" w:hAnsi="Cambria Math"/>
                <w:color w:val="212121"/>
              </w:rPr>
              <m:t>t</m:t>
            </m:r>
          </m:sub>
        </m:sSub>
      </m:oMath>
      <w:r>
        <w:rPr>
          <w:iCs/>
          <w:color w:val="212121"/>
        </w:rPr>
        <w:t xml:space="preserve"> than </w:t>
      </w:r>
      <m:oMath>
        <m:sSub>
          <m:sSubPr>
            <m:ctrlPr>
              <w:rPr>
                <w:rFonts w:ascii="Cambria Math" w:hAnsi="Cambria Math"/>
                <w:i/>
                <w:iCs/>
              </w:rPr>
            </m:ctrlPr>
          </m:sSubPr>
          <m:e>
            <m:r>
              <w:rPr>
                <w:rFonts w:ascii="Cambria Math" w:hAnsi="Cambria Math"/>
              </w:rPr>
              <m:t>σ</m:t>
            </m:r>
          </m:e>
          <m:sub>
            <m:r>
              <w:rPr>
                <w:rFonts w:ascii="Cambria Math" w:hAnsi="Cambria Math"/>
              </w:rPr>
              <m:t>GARCH,t</m:t>
            </m:r>
          </m:sub>
        </m:sSub>
      </m:oMath>
      <w:r>
        <w:rPr>
          <w:iCs/>
        </w:rPr>
        <w:t>.</w:t>
      </w:r>
    </w:p>
    <w:p w14:paraId="2CDB0714" w14:textId="77777777" w:rsidR="001E5356" w:rsidRDefault="001E5356">
      <w:pPr>
        <w:rPr>
          <w:rFonts w:asciiTheme="majorHAnsi" w:eastAsiaTheme="majorEastAsia" w:hAnsiTheme="majorHAnsi" w:cstheme="majorBidi"/>
          <w:b/>
          <w:bCs/>
        </w:rPr>
      </w:pPr>
      <w:r>
        <w:br w:type="page"/>
      </w:r>
    </w:p>
    <w:p w14:paraId="6C77BE98" w14:textId="626DE445" w:rsidR="00822B94" w:rsidRDefault="00822B94" w:rsidP="00822B94">
      <w:pPr>
        <w:pStyle w:val="Heading1"/>
      </w:pPr>
      <w:bookmarkStart w:id="14" w:name="_Toc39843402"/>
      <w:r>
        <w:lastRenderedPageBreak/>
        <w:t>Conclusions</w:t>
      </w:r>
      <w:bookmarkEnd w:id="14"/>
    </w:p>
    <w:p w14:paraId="5B4464EB" w14:textId="207AD31C" w:rsidR="004C09D0" w:rsidRPr="004C09D0" w:rsidRDefault="004C09D0" w:rsidP="004C09D0">
      <w:pPr>
        <w:rPr>
          <w:color w:val="212121"/>
        </w:rPr>
      </w:pPr>
      <w:r w:rsidRPr="004C09D0">
        <w:rPr>
          <w:color w:val="212121"/>
        </w:rPr>
        <w:t>The thesis constructs and studies the VIX-type implied volatility of SSE 50 ETF Option (IV) by examining its correlation with the underlying price of SSE 50 ETF and its predictive power for future realized volatility. A negative correlation between IV and price is found in the full sample from January 2, 2018, to April 3, 2020</w:t>
      </w:r>
      <w:r w:rsidR="00FC6FA4">
        <w:rPr>
          <w:color w:val="212121"/>
        </w:rPr>
        <w:t>.</w:t>
      </w:r>
      <w:r w:rsidRPr="004C09D0">
        <w:rPr>
          <w:color w:val="212121"/>
        </w:rPr>
        <w:t xml:space="preserve"> </w:t>
      </w:r>
      <w:r w:rsidR="00FC6FA4">
        <w:rPr>
          <w:color w:val="212121"/>
        </w:rPr>
        <w:t>A</w:t>
      </w:r>
      <w:r w:rsidRPr="004C09D0">
        <w:rPr>
          <w:color w:val="212121"/>
        </w:rPr>
        <w:t xml:space="preserve">mong the </w:t>
      </w:r>
      <w:r w:rsidR="00FC6FA4">
        <w:rPr>
          <w:color w:val="212121"/>
        </w:rPr>
        <w:t>full</w:t>
      </w:r>
      <w:r w:rsidRPr="004C09D0">
        <w:rPr>
          <w:color w:val="212121"/>
        </w:rPr>
        <w:t xml:space="preserve"> sample, different price-IV relationships exist. IV and price are positively correlated from February 2019 to May 2019, while this correlation becomes significantly negative in the period after the outbreak of COVID-19. To explain this counterintuitive positive correlation, I refer to the socioeconomic context during the first half of 2019, where a persistent theme – US-China frictions, creates great uncertainty to the economy and sends mixed signals. Looking back at the specific time nodes, we see the trade negotiation resumes, breaks up and resumes again, and tariff is imposed, delayed, and raised by both sides. Everything goes back and forth, and this may explain the positive correlation between IV and price. From the perspective of an investor, we know this trade conflict cannot be settled in a short time, and we face mixed signals that change rapidly. Based on loss aversion from behavioral finance, when the market senses a positive sign, and the price rises, given the knowledge of this particular context, investors may be more uncertain about future price movements, and fear more for adverse changes. This corresponds to the forward-looking implied volatility increases as well when the underlying price increases. </w:t>
      </w:r>
    </w:p>
    <w:p w14:paraId="002F72E8" w14:textId="719A3091" w:rsidR="00822B94" w:rsidRDefault="004C09D0" w:rsidP="004C09D0">
      <w:pPr>
        <w:rPr>
          <w:lang w:eastAsia="zh-CN"/>
        </w:rPr>
      </w:pPr>
      <w:r w:rsidRPr="004C09D0">
        <w:rPr>
          <w:color w:val="212121"/>
        </w:rPr>
        <w:t>Further, this paper analyzes the ability of IV and GARCH (1,1) forecasted volatility to predict future realized volatility</w:t>
      </w:r>
      <w:r w:rsidR="0081277F">
        <w:rPr>
          <w:color w:val="212121"/>
        </w:rPr>
        <w:t xml:space="preserve"> of SSE 50 ETF</w:t>
      </w:r>
      <w:r w:rsidRPr="004C09D0">
        <w:rPr>
          <w:color w:val="212121"/>
        </w:rPr>
        <w:t>. Results show that both IV and GARCH (1,1) forecasted volatility contain certain predictive power</w:t>
      </w:r>
      <w:r w:rsidR="0081277F">
        <w:rPr>
          <w:color w:val="212121"/>
        </w:rPr>
        <w:t xml:space="preserve">, where </w:t>
      </w:r>
      <w:r w:rsidR="0064626E">
        <w:rPr>
          <w:color w:val="212121"/>
        </w:rPr>
        <w:t xml:space="preserve">these two variables have significant non-zero coefficients in the predictive regression. Moreover, comparing the values of adjusted R-squared and analyzing with multivariate regression, I find IV is a superior predictor to </w:t>
      </w:r>
      <w:r w:rsidR="0064626E" w:rsidRPr="004C09D0">
        <w:rPr>
          <w:color w:val="212121"/>
        </w:rPr>
        <w:t xml:space="preserve">GARCH </w:t>
      </w:r>
      <w:r w:rsidR="0064626E" w:rsidRPr="004C09D0">
        <w:rPr>
          <w:color w:val="212121"/>
        </w:rPr>
        <w:lastRenderedPageBreak/>
        <w:t>(1,1) forecasted volatility</w:t>
      </w:r>
      <w:r w:rsidR="0064626E">
        <w:rPr>
          <w:color w:val="212121"/>
        </w:rPr>
        <w:t xml:space="preserve">. </w:t>
      </w:r>
      <w:r w:rsidRPr="004C09D0">
        <w:rPr>
          <w:color w:val="212121"/>
        </w:rPr>
        <w:t>This result provides us guidance on forecasting volatility in the near future. It confirms the possibility and the potential effectiveness of introducing financial products that are related to implied volatility for risk management purposes.</w:t>
      </w:r>
    </w:p>
    <w:bookmarkStart w:id="15" w:name="_Toc39843403" w:displacedByCustomXml="next"/>
    <w:sdt>
      <w:sdtPr>
        <w:rPr>
          <w:rFonts w:asciiTheme="minorHAnsi" w:eastAsiaTheme="minorEastAsia" w:hAnsiTheme="minorHAnsi" w:cstheme="minorBidi"/>
        </w:rPr>
        <w:id w:val="-573587230"/>
        <w:bibliography/>
      </w:sdtPr>
      <w:sdtEndPr>
        <w:rPr>
          <w:rFonts w:asciiTheme="majorHAnsi" w:eastAsiaTheme="majorEastAsia" w:hAnsiTheme="majorHAnsi" w:cstheme="majorBidi"/>
        </w:rPr>
      </w:sdtEndPr>
      <w:sdtContent>
        <w:p w14:paraId="6753BED9" w14:textId="5877BB20" w:rsidR="003625FE" w:rsidRPr="00AD1EB0" w:rsidRDefault="009E5E1B" w:rsidP="00AD1EB0">
          <w:pPr>
            <w:pStyle w:val="SectionTitle"/>
            <w:rPr>
              <w:b/>
              <w:bCs/>
            </w:rPr>
          </w:pPr>
          <w:r w:rsidRPr="00A77090">
            <w:rPr>
              <w:b/>
              <w:bCs/>
            </w:rPr>
            <w:t>References</w:t>
          </w:r>
        </w:p>
      </w:sdtContent>
    </w:sdt>
    <w:bookmarkEnd w:id="15" w:displacedByCustomXml="prev"/>
    <w:p w14:paraId="7DB29EAD" w14:textId="40A64BC0" w:rsidR="00AD1EB0" w:rsidRDefault="00AD1EB0" w:rsidP="00AD1EB0">
      <w:pPr>
        <w:ind w:left="480" w:hanging="480"/>
        <w:rPr>
          <w:rStyle w:val="Hyperlink"/>
        </w:rPr>
      </w:pPr>
      <w:r>
        <w:t xml:space="preserve">Ahn, K., Bi, Y., &amp; Sohn, S. (2019). Price discovery among SSE 50 Index-based spot, futures, and options markets. </w:t>
      </w:r>
      <w:r>
        <w:rPr>
          <w:i/>
          <w:iCs/>
        </w:rPr>
        <w:t>Journal of Futures Markets</w:t>
      </w:r>
      <w:r>
        <w:t xml:space="preserve">, </w:t>
      </w:r>
      <w:r>
        <w:rPr>
          <w:i/>
          <w:iCs/>
        </w:rPr>
        <w:t>39</w:t>
      </w:r>
      <w:r>
        <w:t xml:space="preserve">(2), 238–259. </w:t>
      </w:r>
      <w:proofErr w:type="spellStart"/>
      <w:r>
        <w:t>doi</w:t>
      </w:r>
      <w:proofErr w:type="spellEnd"/>
      <w:r>
        <w:t xml:space="preserve">: </w:t>
      </w:r>
      <w:hyperlink r:id="rId11" w:history="1">
        <w:r>
          <w:rPr>
            <w:rStyle w:val="Hyperlink"/>
          </w:rPr>
          <w:t>10.1002/fut.21970</w:t>
        </w:r>
      </w:hyperlink>
    </w:p>
    <w:p w14:paraId="46B4E15C" w14:textId="768C988B" w:rsidR="005C019D" w:rsidRPr="005C019D" w:rsidRDefault="005C019D" w:rsidP="005C019D">
      <w:pPr>
        <w:ind w:left="480" w:hanging="480"/>
        <w:rPr>
          <w:kern w:val="0"/>
          <w:lang w:val="en-CN"/>
        </w:rPr>
      </w:pPr>
      <w:r w:rsidRPr="005C019D">
        <w:rPr>
          <w:kern w:val="0"/>
          <w:lang w:val="en-CN"/>
        </w:rPr>
        <w:t xml:space="preserve">Badshah, I. U. (2013). Quantile Regression Analysis of the Asymmetric Return-Volatility Relation. </w:t>
      </w:r>
      <w:r w:rsidRPr="005C019D">
        <w:rPr>
          <w:i/>
          <w:iCs/>
          <w:kern w:val="0"/>
          <w:lang w:val="en-CN"/>
        </w:rPr>
        <w:t>Journal of Futures Markets</w:t>
      </w:r>
      <w:r w:rsidRPr="005C019D">
        <w:rPr>
          <w:kern w:val="0"/>
          <w:lang w:val="en-CN"/>
        </w:rPr>
        <w:t xml:space="preserve">, </w:t>
      </w:r>
      <w:r w:rsidRPr="005C019D">
        <w:rPr>
          <w:i/>
          <w:iCs/>
          <w:kern w:val="0"/>
          <w:lang w:val="en-CN"/>
        </w:rPr>
        <w:t>33</w:t>
      </w:r>
      <w:r w:rsidRPr="005C019D">
        <w:rPr>
          <w:kern w:val="0"/>
          <w:lang w:val="en-CN"/>
        </w:rPr>
        <w:t xml:space="preserve">(3), 235–265. doi: </w:t>
      </w:r>
      <w:r w:rsidRPr="005C019D">
        <w:rPr>
          <w:kern w:val="0"/>
          <w:lang w:val="en-CN"/>
        </w:rPr>
        <w:fldChar w:fldCharType="begin"/>
      </w:r>
      <w:r w:rsidRPr="005C019D">
        <w:rPr>
          <w:kern w:val="0"/>
          <w:lang w:val="en-CN"/>
        </w:rPr>
        <w:instrText xml:space="preserve"> HYPERLINK "https://doi.org/10.1002/fut.21551" </w:instrText>
      </w:r>
      <w:r w:rsidRPr="005C019D">
        <w:rPr>
          <w:kern w:val="0"/>
          <w:lang w:val="en-CN"/>
        </w:rPr>
        <w:fldChar w:fldCharType="separate"/>
      </w:r>
      <w:r w:rsidRPr="005C019D">
        <w:rPr>
          <w:rStyle w:val="Hyperlink"/>
          <w:kern w:val="0"/>
          <w:lang w:val="en-CN"/>
        </w:rPr>
        <w:t>10.1002/fut.21551</w:t>
      </w:r>
      <w:r w:rsidRPr="005C019D">
        <w:rPr>
          <w:kern w:val="0"/>
        </w:rPr>
        <w:fldChar w:fldCharType="end"/>
      </w:r>
    </w:p>
    <w:p w14:paraId="487E4DCE" w14:textId="77777777" w:rsidR="00AD1EB0" w:rsidRDefault="00AD1EB0" w:rsidP="00AD1EB0">
      <w:pPr>
        <w:ind w:left="480" w:hanging="480"/>
      </w:pPr>
      <w:r>
        <w:t xml:space="preserve">Becker, R., Clements, A. E., &amp; McClelland, A. (2009). The jump component of S&amp;P 500 volatility and the VIX index. </w:t>
      </w:r>
      <w:r>
        <w:rPr>
          <w:i/>
          <w:iCs/>
        </w:rPr>
        <w:t>Journal of Banking &amp; Finance</w:t>
      </w:r>
      <w:r>
        <w:t xml:space="preserve">, </w:t>
      </w:r>
      <w:r>
        <w:rPr>
          <w:i/>
          <w:iCs/>
        </w:rPr>
        <w:t>33</w:t>
      </w:r>
      <w:r>
        <w:t xml:space="preserve">(6), 1033–1038. doi: </w:t>
      </w:r>
      <w:hyperlink r:id="rId12" w:history="1">
        <w:r>
          <w:rPr>
            <w:rStyle w:val="Hyperlink"/>
          </w:rPr>
          <w:t>10.1016/j.jbankfin.2008.10.015</w:t>
        </w:r>
      </w:hyperlink>
    </w:p>
    <w:p w14:paraId="307BB486" w14:textId="77777777" w:rsidR="00AD1EB0" w:rsidRDefault="00AD1EB0" w:rsidP="00AD1EB0">
      <w:pPr>
        <w:ind w:left="480" w:hanging="480"/>
      </w:pPr>
      <w:r>
        <w:t xml:space="preserve">Bentes, S. R. (2015). A comparative analysis of the predictive power of implied volatility indices and GARCH forecasted volatility. </w:t>
      </w:r>
      <w:r>
        <w:rPr>
          <w:i/>
          <w:iCs/>
        </w:rPr>
        <w:t>Physica A: Statistical Mechanics and Its Applications</w:t>
      </w:r>
      <w:r>
        <w:t xml:space="preserve">, </w:t>
      </w:r>
      <w:r>
        <w:rPr>
          <w:i/>
          <w:iCs/>
        </w:rPr>
        <w:t>424</w:t>
      </w:r>
      <w:r>
        <w:t xml:space="preserve">, 105–112. doi: </w:t>
      </w:r>
      <w:hyperlink r:id="rId13" w:history="1">
        <w:r>
          <w:rPr>
            <w:rStyle w:val="Hyperlink"/>
          </w:rPr>
          <w:t>10.1016/j.physa.2015.01.020</w:t>
        </w:r>
      </w:hyperlink>
    </w:p>
    <w:p w14:paraId="14C9469C" w14:textId="77777777" w:rsidR="00AD1EB0" w:rsidRDefault="00AD1EB0" w:rsidP="00AD1EB0">
      <w:pPr>
        <w:ind w:left="480" w:hanging="480"/>
      </w:pPr>
      <w:r>
        <w:t xml:space="preserve">Bollerslev, T. (1986). Generalized autoregressive conditional heteroskedasticity. </w:t>
      </w:r>
      <w:r>
        <w:rPr>
          <w:i/>
          <w:iCs/>
        </w:rPr>
        <w:t>Journal of Econometrics</w:t>
      </w:r>
      <w:r>
        <w:t xml:space="preserve">, </w:t>
      </w:r>
      <w:r>
        <w:rPr>
          <w:i/>
          <w:iCs/>
        </w:rPr>
        <w:t>31</w:t>
      </w:r>
      <w:r>
        <w:t xml:space="preserve">(3), 307–327. doi: </w:t>
      </w:r>
      <w:hyperlink r:id="rId14" w:history="1">
        <w:r>
          <w:rPr>
            <w:rStyle w:val="Hyperlink"/>
          </w:rPr>
          <w:t>10.1016/0304-4076(86)90063-1</w:t>
        </w:r>
      </w:hyperlink>
    </w:p>
    <w:p w14:paraId="08A67E8E" w14:textId="1AAB1417" w:rsidR="00AD1EB0" w:rsidRDefault="00AD1EB0" w:rsidP="00AD1EB0">
      <w:pPr>
        <w:ind w:left="480" w:hanging="480"/>
        <w:rPr>
          <w:rStyle w:val="Hyperlink"/>
        </w:rPr>
      </w:pPr>
      <w:r>
        <w:t xml:space="preserve">Canina, L., &amp; Figlewski, S. (1993). The Informational Content of Implied Volatility. </w:t>
      </w:r>
      <w:r>
        <w:rPr>
          <w:i/>
          <w:iCs/>
        </w:rPr>
        <w:t>The Review of Financial Studies</w:t>
      </w:r>
      <w:r>
        <w:t xml:space="preserve">, </w:t>
      </w:r>
      <w:r>
        <w:rPr>
          <w:i/>
          <w:iCs/>
        </w:rPr>
        <w:t>6</w:t>
      </w:r>
      <w:r>
        <w:t xml:space="preserve">(3), 659–681. </w:t>
      </w:r>
      <w:proofErr w:type="spellStart"/>
      <w:r>
        <w:t>doi</w:t>
      </w:r>
      <w:proofErr w:type="spellEnd"/>
      <w:r>
        <w:t xml:space="preserve">: </w:t>
      </w:r>
      <w:hyperlink r:id="rId15" w:history="1">
        <w:r>
          <w:rPr>
            <w:rStyle w:val="Hyperlink"/>
          </w:rPr>
          <w:t>10.1093/</w:t>
        </w:r>
        <w:proofErr w:type="spellStart"/>
        <w:r>
          <w:rPr>
            <w:rStyle w:val="Hyperlink"/>
          </w:rPr>
          <w:t>rfs</w:t>
        </w:r>
        <w:proofErr w:type="spellEnd"/>
        <w:r>
          <w:rPr>
            <w:rStyle w:val="Hyperlink"/>
          </w:rPr>
          <w:t>/5.3.659</w:t>
        </w:r>
      </w:hyperlink>
    </w:p>
    <w:p w14:paraId="302E80B0" w14:textId="1F6B55AC" w:rsidR="006936E8" w:rsidRDefault="006936E8" w:rsidP="00AD1EB0">
      <w:pPr>
        <w:ind w:left="480" w:hanging="480"/>
      </w:pPr>
      <w:r w:rsidRPr="006936E8">
        <w:t>Chicago Board Options Exchange (2003) “The CBOE Volatility Index – VIX.” White Paper.</w:t>
      </w:r>
    </w:p>
    <w:p w14:paraId="7651C3AE" w14:textId="77777777" w:rsidR="00AD1EB0" w:rsidRDefault="00AD1EB0" w:rsidP="00AD1EB0">
      <w:pPr>
        <w:ind w:left="480" w:hanging="480"/>
      </w:pPr>
      <w:r>
        <w:t xml:space="preserve">Day, T. E., &amp; Lewis, C. M. (1992). Stock market volatility and the information content of stock index options. </w:t>
      </w:r>
      <w:r>
        <w:rPr>
          <w:i/>
          <w:iCs/>
        </w:rPr>
        <w:t>Journal of Econometrics</w:t>
      </w:r>
      <w:r>
        <w:t xml:space="preserve">, </w:t>
      </w:r>
      <w:r>
        <w:rPr>
          <w:i/>
          <w:iCs/>
        </w:rPr>
        <w:t>52</w:t>
      </w:r>
      <w:r>
        <w:t xml:space="preserve">(1–2), 267–287. doi: </w:t>
      </w:r>
      <w:hyperlink r:id="rId16" w:history="1">
        <w:r>
          <w:rPr>
            <w:rStyle w:val="Hyperlink"/>
          </w:rPr>
          <w:t>10.1016/0304-4076(92)90073-Z</w:t>
        </w:r>
      </w:hyperlink>
    </w:p>
    <w:p w14:paraId="39CCEFF5" w14:textId="38CFC91D" w:rsidR="00AD1EB0" w:rsidRDefault="00AD1EB0" w:rsidP="00AD1EB0">
      <w:pPr>
        <w:ind w:left="480" w:hanging="480"/>
        <w:rPr>
          <w:rStyle w:val="Hyperlink"/>
        </w:rPr>
      </w:pPr>
      <w:r>
        <w:t xml:space="preserve">Engle, R. F. (1982). Autoregressive Conditional Heteroscedasticity with Estimates of the Variance of United Kingdom Inflation. </w:t>
      </w:r>
      <w:r>
        <w:rPr>
          <w:i/>
          <w:iCs/>
        </w:rPr>
        <w:t>Econometrica</w:t>
      </w:r>
      <w:r>
        <w:t xml:space="preserve">, </w:t>
      </w:r>
      <w:r>
        <w:rPr>
          <w:i/>
          <w:iCs/>
        </w:rPr>
        <w:t>50</w:t>
      </w:r>
      <w:r>
        <w:t xml:space="preserve">(4), 987–1007. </w:t>
      </w:r>
      <w:proofErr w:type="spellStart"/>
      <w:r>
        <w:t>doi</w:t>
      </w:r>
      <w:proofErr w:type="spellEnd"/>
      <w:r>
        <w:t xml:space="preserve">: </w:t>
      </w:r>
      <w:hyperlink r:id="rId17" w:history="1">
        <w:r>
          <w:rPr>
            <w:rStyle w:val="Hyperlink"/>
          </w:rPr>
          <w:t>10.2307/1912773</w:t>
        </w:r>
      </w:hyperlink>
    </w:p>
    <w:p w14:paraId="16632817" w14:textId="51E1A1CC" w:rsidR="00A46FBF" w:rsidRPr="0060325A" w:rsidRDefault="00A46FBF" w:rsidP="0060325A">
      <w:pPr>
        <w:ind w:left="480" w:hanging="480"/>
        <w:rPr>
          <w:kern w:val="0"/>
        </w:rPr>
      </w:pPr>
      <w:r>
        <w:lastRenderedPageBreak/>
        <w:t xml:space="preserve">Engle, R. F., &amp; Patton, A. J. (2001). What good is a volatility model? </w:t>
      </w:r>
      <w:r>
        <w:rPr>
          <w:i/>
          <w:iCs/>
        </w:rPr>
        <w:t>Quantitative Finance</w:t>
      </w:r>
      <w:r>
        <w:t xml:space="preserve">, </w:t>
      </w:r>
      <w:r>
        <w:rPr>
          <w:i/>
          <w:iCs/>
        </w:rPr>
        <w:t>1</w:t>
      </w:r>
      <w:r>
        <w:t xml:space="preserve">(2), 237–245. </w:t>
      </w:r>
      <w:proofErr w:type="spellStart"/>
      <w:r>
        <w:t>doi</w:t>
      </w:r>
      <w:proofErr w:type="spellEnd"/>
      <w:r>
        <w:t xml:space="preserve">: </w:t>
      </w:r>
      <w:hyperlink r:id="rId18" w:history="1">
        <w:r>
          <w:rPr>
            <w:rStyle w:val="Hyperlink"/>
          </w:rPr>
          <w:t>10.1088/1469-7688/1/2/305</w:t>
        </w:r>
      </w:hyperlink>
    </w:p>
    <w:p w14:paraId="061E6CB0" w14:textId="77777777" w:rsidR="00AD1EB0" w:rsidRDefault="00AD1EB0" w:rsidP="00AD1EB0">
      <w:pPr>
        <w:ind w:left="480" w:hanging="480"/>
      </w:pPr>
      <w:r>
        <w:t xml:space="preserve">Li, J., Yu, X., &amp; Luo, X. (2019). Volatility index and the return–volatility relation: Intraday evidence from Chinese options market. </w:t>
      </w:r>
      <w:r>
        <w:rPr>
          <w:i/>
          <w:iCs/>
        </w:rPr>
        <w:t>Journal of Futures Markets</w:t>
      </w:r>
      <w:r>
        <w:t xml:space="preserve">, </w:t>
      </w:r>
      <w:r>
        <w:rPr>
          <w:i/>
          <w:iCs/>
        </w:rPr>
        <w:t>39</w:t>
      </w:r>
      <w:r>
        <w:t xml:space="preserve">(11), 1348–1359. </w:t>
      </w:r>
      <w:proofErr w:type="spellStart"/>
      <w:r>
        <w:t>doi</w:t>
      </w:r>
      <w:proofErr w:type="spellEnd"/>
      <w:r>
        <w:t xml:space="preserve">: </w:t>
      </w:r>
      <w:hyperlink r:id="rId19" w:history="1">
        <w:r>
          <w:rPr>
            <w:rStyle w:val="Hyperlink"/>
          </w:rPr>
          <w:t>10.1002/fut.22012</w:t>
        </w:r>
      </w:hyperlink>
    </w:p>
    <w:p w14:paraId="583C57E1" w14:textId="77777777" w:rsidR="00AD1EB0" w:rsidRDefault="00AD1EB0" w:rsidP="00AD1EB0">
      <w:pPr>
        <w:ind w:left="480" w:hanging="480"/>
      </w:pPr>
      <w:r>
        <w:t xml:space="preserve">Szakmary, A., </w:t>
      </w:r>
      <w:proofErr w:type="spellStart"/>
      <w:r>
        <w:t>Ors</w:t>
      </w:r>
      <w:proofErr w:type="spellEnd"/>
      <w:r>
        <w:t xml:space="preserve">, E., </w:t>
      </w:r>
      <w:proofErr w:type="spellStart"/>
      <w:r>
        <w:t>Kyoung</w:t>
      </w:r>
      <w:proofErr w:type="spellEnd"/>
      <w:r>
        <w:t xml:space="preserve"> Kim, J., &amp; Davidson, W. N. (2003). The predictive power of implied volatility: Evidence from 35 futures markets. </w:t>
      </w:r>
      <w:r>
        <w:rPr>
          <w:i/>
          <w:iCs/>
        </w:rPr>
        <w:t>Journal of Banking &amp; Finance</w:t>
      </w:r>
      <w:r>
        <w:t xml:space="preserve">, </w:t>
      </w:r>
      <w:r>
        <w:rPr>
          <w:i/>
          <w:iCs/>
        </w:rPr>
        <w:t>27</w:t>
      </w:r>
      <w:r>
        <w:t xml:space="preserve">(11), 2151–2175. </w:t>
      </w:r>
      <w:proofErr w:type="spellStart"/>
      <w:r>
        <w:t>doi</w:t>
      </w:r>
      <w:proofErr w:type="spellEnd"/>
      <w:r>
        <w:t xml:space="preserve">: </w:t>
      </w:r>
      <w:hyperlink r:id="rId20" w:history="1">
        <w:r>
          <w:rPr>
            <w:rStyle w:val="Hyperlink"/>
          </w:rPr>
          <w:t>10.1016/S0378-4266(02)00323-0</w:t>
        </w:r>
      </w:hyperlink>
    </w:p>
    <w:p w14:paraId="14F4756A" w14:textId="18B3B8AC" w:rsidR="0027453D" w:rsidRDefault="00C76886">
      <w:pPr>
        <w:pStyle w:val="SectionTitle"/>
        <w:rPr>
          <w:b/>
          <w:bCs/>
        </w:rPr>
      </w:pPr>
      <w:bookmarkStart w:id="16" w:name="_Toc39843404"/>
      <w:r w:rsidRPr="00A77090">
        <w:rPr>
          <w:b/>
          <w:bCs/>
        </w:rPr>
        <w:lastRenderedPageBreak/>
        <w:t>Appendix</w:t>
      </w:r>
      <w:bookmarkEnd w:id="16"/>
    </w:p>
    <w:p w14:paraId="1EBDC23F" w14:textId="73CD9E77" w:rsidR="00895DFF" w:rsidRDefault="00B922CB" w:rsidP="00B922CB">
      <w:r>
        <w:t xml:space="preserve">Fig. </w:t>
      </w:r>
      <w:r w:rsidR="00D9227E">
        <w:t>A</w:t>
      </w:r>
      <w:r>
        <w:t>1</w:t>
      </w:r>
      <w:r w:rsidR="00D9227E">
        <w:t>.</w:t>
      </w:r>
      <w:r w:rsidR="009848A7" w:rsidRPr="009848A7">
        <w:rPr>
          <w:noProof/>
        </w:rPr>
        <w:t xml:space="preserve"> </w:t>
      </w:r>
      <w:r w:rsidR="009848A7">
        <w:t xml:space="preserve">GARCH (1,1) sigma forecast vs actual </w:t>
      </w:r>
    </w:p>
    <w:p w14:paraId="7932C1F5" w14:textId="2D31CB5A" w:rsidR="009848A7" w:rsidRDefault="00895DFF" w:rsidP="006835D0">
      <w:pPr>
        <w:jc w:val="center"/>
      </w:pPr>
      <w:r w:rsidRPr="00895DFF">
        <w:rPr>
          <w:noProof/>
        </w:rPr>
        <w:drawing>
          <wp:inline distT="0" distB="0" distL="0" distR="0" wp14:anchorId="46EA60EF" wp14:editId="051E1758">
            <wp:extent cx="4318761" cy="2504303"/>
            <wp:effectExtent l="0" t="0" r="0" b="0"/>
            <wp:docPr id="3" name="Picture 2" descr="A screenshot of a social media post&#10;&#10;Description automatically generated">
              <a:extLst xmlns:a="http://schemas.openxmlformats.org/drawingml/2006/main">
                <a:ext uri="{FF2B5EF4-FFF2-40B4-BE49-F238E27FC236}">
                  <a16:creationId xmlns:a16="http://schemas.microsoft.com/office/drawing/2014/main" id="{B9FB1CEB-BE7B-484E-AD31-AFE39A192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social media post&#10;&#10;Description automatically generated">
                      <a:extLst>
                        <a:ext uri="{FF2B5EF4-FFF2-40B4-BE49-F238E27FC236}">
                          <a16:creationId xmlns:a16="http://schemas.microsoft.com/office/drawing/2014/main" id="{B9FB1CEB-BE7B-484E-AD31-AFE39A192B80}"/>
                        </a:ext>
                      </a:extLst>
                    </pic:cNvPr>
                    <pic:cNvPicPr>
                      <a:picLocks noChangeAspect="1"/>
                    </pic:cNvPicPr>
                  </pic:nvPicPr>
                  <pic:blipFill rotWithShape="1">
                    <a:blip r:embed="rId21"/>
                    <a:srcRect t="5572" b="13764"/>
                    <a:stretch/>
                  </pic:blipFill>
                  <pic:spPr bwMode="auto">
                    <a:xfrm>
                      <a:off x="0" y="0"/>
                      <a:ext cx="4320000" cy="2505021"/>
                    </a:xfrm>
                    <a:prstGeom prst="rect">
                      <a:avLst/>
                    </a:prstGeom>
                    <a:ln>
                      <a:noFill/>
                    </a:ln>
                    <a:extLst>
                      <a:ext uri="{53640926-AAD7-44D8-BBD7-CCE9431645EC}">
                        <a14:shadowObscured xmlns:a14="http://schemas.microsoft.com/office/drawing/2010/main"/>
                      </a:ext>
                    </a:extLst>
                  </pic:spPr>
                </pic:pic>
              </a:graphicData>
            </a:graphic>
          </wp:inline>
        </w:drawing>
      </w:r>
    </w:p>
    <w:p w14:paraId="6A52F3F7" w14:textId="77777777" w:rsidR="006835D0" w:rsidRDefault="006835D0" w:rsidP="006835D0">
      <w:pPr>
        <w:jc w:val="center"/>
      </w:pPr>
    </w:p>
    <w:p w14:paraId="33311793" w14:textId="402C2397" w:rsidR="009848A7" w:rsidRDefault="009848A7" w:rsidP="009848A7">
      <w:r>
        <w:t xml:space="preserve">Fig. </w:t>
      </w:r>
      <w:r w:rsidR="00D9227E">
        <w:t>A</w:t>
      </w:r>
      <w:r>
        <w:t>2</w:t>
      </w:r>
      <w:r w:rsidR="00D9227E">
        <w:t xml:space="preserve">. Results of </w:t>
      </w:r>
      <w:r w:rsidR="00D9227E" w:rsidRPr="00D9227E">
        <w:t xml:space="preserve">VaR </w:t>
      </w:r>
      <w:r w:rsidR="00D9227E">
        <w:t xml:space="preserve">test </w:t>
      </w:r>
      <w:r w:rsidR="00D9227E" w:rsidRPr="00D9227E">
        <w:t>at level of 1%</w:t>
      </w:r>
    </w:p>
    <w:p w14:paraId="3A74A4B0" w14:textId="77275DE6" w:rsidR="009848A7" w:rsidRDefault="009848A7" w:rsidP="009848A7">
      <w:pPr>
        <w:jc w:val="center"/>
      </w:pPr>
      <w:r w:rsidRPr="009848A7">
        <w:rPr>
          <w:noProof/>
        </w:rPr>
        <w:drawing>
          <wp:inline distT="0" distB="0" distL="0" distR="0" wp14:anchorId="12A17A03" wp14:editId="46A46C86">
            <wp:extent cx="4319369" cy="2271086"/>
            <wp:effectExtent l="0" t="0" r="0" b="2540"/>
            <wp:docPr id="6" name="Picture 5" descr="A screenshot of a map&#10;&#10;Description automatically generated">
              <a:extLst xmlns:a="http://schemas.openxmlformats.org/drawingml/2006/main">
                <a:ext uri="{FF2B5EF4-FFF2-40B4-BE49-F238E27FC236}">
                  <a16:creationId xmlns:a16="http://schemas.microsoft.com/office/drawing/2014/main" id="{476A000C-CA26-344D-BE09-C93A353C32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map&#10;&#10;Description automatically generated">
                      <a:extLst>
                        <a:ext uri="{FF2B5EF4-FFF2-40B4-BE49-F238E27FC236}">
                          <a16:creationId xmlns:a16="http://schemas.microsoft.com/office/drawing/2014/main" id="{476A000C-CA26-344D-BE09-C93A353C32C5}"/>
                        </a:ext>
                      </a:extLst>
                    </pic:cNvPr>
                    <pic:cNvPicPr>
                      <a:picLocks noChangeAspect="1"/>
                    </pic:cNvPicPr>
                  </pic:nvPicPr>
                  <pic:blipFill rotWithShape="1">
                    <a:blip r:embed="rId22"/>
                    <a:srcRect t="14857" b="12001"/>
                    <a:stretch/>
                  </pic:blipFill>
                  <pic:spPr bwMode="auto">
                    <a:xfrm>
                      <a:off x="0" y="0"/>
                      <a:ext cx="4320000" cy="2271418"/>
                    </a:xfrm>
                    <a:prstGeom prst="rect">
                      <a:avLst/>
                    </a:prstGeom>
                    <a:ln>
                      <a:noFill/>
                    </a:ln>
                    <a:extLst>
                      <a:ext uri="{53640926-AAD7-44D8-BBD7-CCE9431645EC}">
                        <a14:shadowObscured xmlns:a14="http://schemas.microsoft.com/office/drawing/2010/main"/>
                      </a:ext>
                    </a:extLst>
                  </pic:spPr>
                </pic:pic>
              </a:graphicData>
            </a:graphic>
          </wp:inline>
        </w:drawing>
      </w:r>
    </w:p>
    <w:p w14:paraId="3C4A4481" w14:textId="52AB44CB" w:rsidR="00D9227E" w:rsidRDefault="006835D0" w:rsidP="007974E3">
      <w:pPr>
        <w:ind w:firstLine="0"/>
      </w:pPr>
      <w:r>
        <w:tab/>
      </w:r>
    </w:p>
    <w:p w14:paraId="22722D9A" w14:textId="114C236C" w:rsidR="00D9227E" w:rsidRDefault="00D9227E" w:rsidP="009848A7">
      <w:pPr>
        <w:jc w:val="center"/>
        <w:rPr>
          <w:lang w:eastAsia="zh-CN"/>
        </w:rPr>
      </w:pPr>
    </w:p>
    <w:p w14:paraId="72EEC5D1" w14:textId="4CEDBEDD" w:rsidR="00D9227E" w:rsidRPr="00B922CB" w:rsidRDefault="00D9227E" w:rsidP="00430C26">
      <w:pPr>
        <w:ind w:firstLine="0"/>
        <w:rPr>
          <w:lang w:eastAsia="zh-CN"/>
        </w:rPr>
      </w:pPr>
    </w:p>
    <w:sectPr w:rsidR="00D9227E" w:rsidRPr="00B922CB" w:rsidSect="00146464">
      <w:headerReference w:type="first" r:id="rId23"/>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305EB" w14:textId="77777777" w:rsidR="00C44556" w:rsidRDefault="00C44556">
      <w:pPr>
        <w:spacing w:line="240" w:lineRule="auto"/>
      </w:pPr>
      <w:r>
        <w:separator/>
      </w:r>
    </w:p>
  </w:endnote>
  <w:endnote w:type="continuationSeparator" w:id="0">
    <w:p w14:paraId="7BC469F0" w14:textId="77777777" w:rsidR="00C44556" w:rsidRDefault="00C44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altName w:val="Calibr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Roboto Condensed Ligh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23FFA" w14:textId="77777777" w:rsidR="00C44556" w:rsidRDefault="00C44556">
      <w:pPr>
        <w:spacing w:line="240" w:lineRule="auto"/>
      </w:pPr>
      <w:r>
        <w:separator/>
      </w:r>
    </w:p>
  </w:footnote>
  <w:footnote w:type="continuationSeparator" w:id="0">
    <w:p w14:paraId="7036C1D9" w14:textId="77777777" w:rsidR="00C44556" w:rsidRDefault="00C44556">
      <w:pPr>
        <w:spacing w:line="240" w:lineRule="auto"/>
      </w:pPr>
      <w:r>
        <w:continuationSeparator/>
      </w:r>
    </w:p>
  </w:footnote>
  <w:footnote w:id="1">
    <w:p w14:paraId="6EEB6D82" w14:textId="77777777" w:rsidR="0060325A" w:rsidRDefault="0060325A" w:rsidP="0060325A">
      <w:pPr>
        <w:pStyle w:val="FootnoteText"/>
        <w:rPr>
          <w:lang w:eastAsia="zh-CN"/>
        </w:rPr>
      </w:pPr>
      <w:r>
        <w:rPr>
          <w:rStyle w:val="FootnoteReference"/>
        </w:rPr>
        <w:footnoteRef/>
      </w:r>
      <w:r>
        <w:t xml:space="preserve"> </w:t>
      </w:r>
      <w:r w:rsidRPr="006E3CF8">
        <w:rPr>
          <w:rFonts w:ascii="Times New Roman" w:hAnsi="Times New Roman" w:cs="Times New Roman"/>
          <w:i/>
          <w:iCs/>
          <w:kern w:val="0"/>
        </w:rPr>
        <w:t>CBOE VIX Whitepaper</w:t>
      </w:r>
    </w:p>
  </w:footnote>
  <w:footnote w:id="2">
    <w:p w14:paraId="0EAC5D4D" w14:textId="77777777" w:rsidR="0060325A" w:rsidRDefault="0060325A" w:rsidP="0060325A">
      <w:pPr>
        <w:pStyle w:val="FootnoteText"/>
      </w:pPr>
      <w:r>
        <w:rPr>
          <w:rStyle w:val="FootnoteReference"/>
        </w:rPr>
        <w:footnoteRef/>
      </w:r>
      <w:r>
        <w:t xml:space="preserve"> Shanghai Stock Exchange (SSE) launched SSE 50 ETF</w:t>
      </w:r>
      <w:r w:rsidRPr="00BB1D02">
        <w:t xml:space="preserve"> </w:t>
      </w:r>
      <w:r>
        <w:t xml:space="preserve">on February 23, 2005, which is the first ETF in mainland China. This ETF selects the 50 largest and most liquid stocks listed on SSE. On February 9, 2015, SSE introduced SSE 50 ETF Option, which is the first exchange-traded option in the mainland China. </w:t>
      </w:r>
    </w:p>
  </w:footnote>
  <w:footnote w:id="3">
    <w:p w14:paraId="10F95733" w14:textId="1F8AF773" w:rsidR="00DB3E7E" w:rsidRDefault="00DB3E7E">
      <w:pPr>
        <w:pStyle w:val="FootnoteText"/>
        <w:rPr>
          <w:lang w:eastAsia="zh-CN"/>
        </w:rPr>
      </w:pPr>
      <w:r>
        <w:rPr>
          <w:rStyle w:val="FootnoteReference"/>
        </w:rPr>
        <w:footnoteRef/>
      </w:r>
      <w:r>
        <w:t xml:space="preserve"> </w:t>
      </w:r>
      <w:r w:rsidRPr="00381EC2">
        <w:t>February</w:t>
      </w:r>
      <w:r>
        <w:t xml:space="preserve"> 3, 2020 is the first trading day in China after the </w:t>
      </w:r>
      <w:r>
        <w:rPr>
          <w:lang w:eastAsia="zh-CN"/>
        </w:rPr>
        <w:t xml:space="preserve">Spring Festival holiday extended to February 2 due to the outbreak of COVID-19. </w:t>
      </w:r>
      <w:r w:rsidRPr="00056709">
        <w:rPr>
          <w:lang w:eastAsia="zh-CN"/>
        </w:rPr>
        <w:t xml:space="preserve">According to </w:t>
      </w:r>
      <w:r>
        <w:rPr>
          <w:lang w:eastAsia="zh-CN"/>
        </w:rPr>
        <w:t>statistics</w:t>
      </w:r>
      <w:r w:rsidRPr="00056709">
        <w:rPr>
          <w:lang w:eastAsia="zh-CN"/>
        </w:rPr>
        <w:t xml:space="preserve"> from Johns Hopkins University</w:t>
      </w:r>
      <w:r>
        <w:rPr>
          <w:lang w:eastAsia="zh-CN"/>
        </w:rPr>
        <w:t>, by</w:t>
      </w:r>
      <w:r w:rsidRPr="00056709">
        <w:rPr>
          <w:lang w:eastAsia="zh-CN"/>
        </w:rPr>
        <w:t xml:space="preserve"> April 3, </w:t>
      </w:r>
      <w:r>
        <w:rPr>
          <w:lang w:eastAsia="zh-CN"/>
        </w:rPr>
        <w:t xml:space="preserve">2020, </w:t>
      </w:r>
      <w:r w:rsidRPr="00056709">
        <w:rPr>
          <w:lang w:eastAsia="zh-CN"/>
        </w:rPr>
        <w:t xml:space="preserve">the number of confirmed cases of </w:t>
      </w:r>
      <w:r>
        <w:rPr>
          <w:lang w:eastAsia="zh-CN"/>
        </w:rPr>
        <w:t xml:space="preserve">COVID-19 </w:t>
      </w:r>
      <w:r w:rsidRPr="00056709">
        <w:rPr>
          <w:lang w:eastAsia="zh-CN"/>
        </w:rPr>
        <w:t xml:space="preserve">in the world has exceeded 1 million, the number of deaths </w:t>
      </w:r>
      <w:r>
        <w:rPr>
          <w:lang w:eastAsia="zh-CN"/>
        </w:rPr>
        <w:t xml:space="preserve">HAS </w:t>
      </w:r>
      <w:r w:rsidRPr="00056709">
        <w:rPr>
          <w:lang w:eastAsia="zh-CN"/>
        </w:rPr>
        <w:t>exceeded 51,000</w:t>
      </w:r>
      <w:r>
        <w:rPr>
          <w:lang w:eastAsia="zh-CN"/>
        </w:rPr>
        <w:t>.</w:t>
      </w:r>
    </w:p>
  </w:footnote>
  <w:footnote w:id="4">
    <w:p w14:paraId="63796364" w14:textId="2CE24F45" w:rsidR="00DB3E7E" w:rsidRDefault="00DB3E7E">
      <w:pPr>
        <w:pStyle w:val="FootnoteText"/>
      </w:pPr>
      <w:r>
        <w:rPr>
          <w:rStyle w:val="FootnoteReference"/>
        </w:rPr>
        <w:footnoteRef/>
      </w:r>
      <w:r>
        <w:t xml:space="preserve"> First 696 observations used for the starting estimation, followed by the 54</w:t>
      </w:r>
      <w:r w:rsidR="00991D4B">
        <w:t>7</w:t>
      </w:r>
      <w:r>
        <w:t xml:space="preserve"> rolling forecasts.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A62B8" w14:textId="743BED58" w:rsidR="00DB3E7E" w:rsidRDefault="00DB3E7E">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F5268AE"/>
    <w:multiLevelType w:val="hybridMultilevel"/>
    <w:tmpl w:val="3348BC48"/>
    <w:lvl w:ilvl="0" w:tplc="D48C7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FF4943"/>
    <w:multiLevelType w:val="hybridMultilevel"/>
    <w:tmpl w:val="D4CACC2E"/>
    <w:lvl w:ilvl="0" w:tplc="611CE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45371A"/>
    <w:multiLevelType w:val="hybridMultilevel"/>
    <w:tmpl w:val="FEB04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FE"/>
    <w:rsid w:val="00007138"/>
    <w:rsid w:val="000173A8"/>
    <w:rsid w:val="000278A8"/>
    <w:rsid w:val="00043367"/>
    <w:rsid w:val="00056709"/>
    <w:rsid w:val="000A4266"/>
    <w:rsid w:val="000A5F1B"/>
    <w:rsid w:val="000B527A"/>
    <w:rsid w:val="000C1808"/>
    <w:rsid w:val="000E2FB0"/>
    <w:rsid w:val="000E46F3"/>
    <w:rsid w:val="000F3B54"/>
    <w:rsid w:val="00107C04"/>
    <w:rsid w:val="00112BD0"/>
    <w:rsid w:val="001141A3"/>
    <w:rsid w:val="00120C1F"/>
    <w:rsid w:val="00146464"/>
    <w:rsid w:val="0015119D"/>
    <w:rsid w:val="00152CE8"/>
    <w:rsid w:val="00153F1F"/>
    <w:rsid w:val="00176D46"/>
    <w:rsid w:val="001A6656"/>
    <w:rsid w:val="001E5356"/>
    <w:rsid w:val="001E72DA"/>
    <w:rsid w:val="001F4C7A"/>
    <w:rsid w:val="001F784D"/>
    <w:rsid w:val="0020511E"/>
    <w:rsid w:val="00213359"/>
    <w:rsid w:val="00234CA7"/>
    <w:rsid w:val="0024195E"/>
    <w:rsid w:val="002649EA"/>
    <w:rsid w:val="0027453D"/>
    <w:rsid w:val="00295327"/>
    <w:rsid w:val="0029533E"/>
    <w:rsid w:val="002A3444"/>
    <w:rsid w:val="002B2BDF"/>
    <w:rsid w:val="002B6012"/>
    <w:rsid w:val="002C28EF"/>
    <w:rsid w:val="002F6BEC"/>
    <w:rsid w:val="00305E29"/>
    <w:rsid w:val="003060B7"/>
    <w:rsid w:val="00313348"/>
    <w:rsid w:val="00324069"/>
    <w:rsid w:val="003257C9"/>
    <w:rsid w:val="0032786D"/>
    <w:rsid w:val="00344562"/>
    <w:rsid w:val="00347E52"/>
    <w:rsid w:val="003625FE"/>
    <w:rsid w:val="00381EC2"/>
    <w:rsid w:val="00392123"/>
    <w:rsid w:val="003C007E"/>
    <w:rsid w:val="003D68F9"/>
    <w:rsid w:val="003D723A"/>
    <w:rsid w:val="003E07E4"/>
    <w:rsid w:val="003F74A2"/>
    <w:rsid w:val="0042393E"/>
    <w:rsid w:val="00430C26"/>
    <w:rsid w:val="0043510C"/>
    <w:rsid w:val="00436F24"/>
    <w:rsid w:val="00437BBA"/>
    <w:rsid w:val="00453C7E"/>
    <w:rsid w:val="004557C1"/>
    <w:rsid w:val="0048131C"/>
    <w:rsid w:val="0048385E"/>
    <w:rsid w:val="00487C7C"/>
    <w:rsid w:val="0049210D"/>
    <w:rsid w:val="004C09D0"/>
    <w:rsid w:val="004C7958"/>
    <w:rsid w:val="004D7EFF"/>
    <w:rsid w:val="005032C6"/>
    <w:rsid w:val="005202B5"/>
    <w:rsid w:val="00527FB2"/>
    <w:rsid w:val="00540EB5"/>
    <w:rsid w:val="00577A03"/>
    <w:rsid w:val="00587C34"/>
    <w:rsid w:val="005A316B"/>
    <w:rsid w:val="005A6925"/>
    <w:rsid w:val="005C019D"/>
    <w:rsid w:val="005C5F5D"/>
    <w:rsid w:val="005F7EF7"/>
    <w:rsid w:val="0060325A"/>
    <w:rsid w:val="00614456"/>
    <w:rsid w:val="00617075"/>
    <w:rsid w:val="0063256B"/>
    <w:rsid w:val="006452FE"/>
    <w:rsid w:val="0064626E"/>
    <w:rsid w:val="006525C1"/>
    <w:rsid w:val="006835D0"/>
    <w:rsid w:val="0068443B"/>
    <w:rsid w:val="00692335"/>
    <w:rsid w:val="006936E8"/>
    <w:rsid w:val="006A32BC"/>
    <w:rsid w:val="006A64C3"/>
    <w:rsid w:val="006B5FCB"/>
    <w:rsid w:val="006E3815"/>
    <w:rsid w:val="006E3CF8"/>
    <w:rsid w:val="00722F19"/>
    <w:rsid w:val="007457D8"/>
    <w:rsid w:val="00755AB7"/>
    <w:rsid w:val="00794CD7"/>
    <w:rsid w:val="007974E3"/>
    <w:rsid w:val="007A7024"/>
    <w:rsid w:val="007C646E"/>
    <w:rsid w:val="007C6D6C"/>
    <w:rsid w:val="007E67DE"/>
    <w:rsid w:val="007E6DEB"/>
    <w:rsid w:val="0081277F"/>
    <w:rsid w:val="0081542A"/>
    <w:rsid w:val="00815D06"/>
    <w:rsid w:val="00822B94"/>
    <w:rsid w:val="00824A49"/>
    <w:rsid w:val="00825938"/>
    <w:rsid w:val="00845BC1"/>
    <w:rsid w:val="00853210"/>
    <w:rsid w:val="00866419"/>
    <w:rsid w:val="00884247"/>
    <w:rsid w:val="00893301"/>
    <w:rsid w:val="00895DFF"/>
    <w:rsid w:val="008C45C6"/>
    <w:rsid w:val="008D0C14"/>
    <w:rsid w:val="008E6745"/>
    <w:rsid w:val="008F1770"/>
    <w:rsid w:val="008F4B4F"/>
    <w:rsid w:val="0090740D"/>
    <w:rsid w:val="00927D31"/>
    <w:rsid w:val="009428E9"/>
    <w:rsid w:val="0097116F"/>
    <w:rsid w:val="00976539"/>
    <w:rsid w:val="00980707"/>
    <w:rsid w:val="009848A7"/>
    <w:rsid w:val="00987F1F"/>
    <w:rsid w:val="00991D4B"/>
    <w:rsid w:val="00993EB9"/>
    <w:rsid w:val="00995641"/>
    <w:rsid w:val="009964CD"/>
    <w:rsid w:val="009A2CF8"/>
    <w:rsid w:val="009A7D44"/>
    <w:rsid w:val="009B4EA1"/>
    <w:rsid w:val="009B598D"/>
    <w:rsid w:val="009B5B87"/>
    <w:rsid w:val="009E5E1B"/>
    <w:rsid w:val="00A00433"/>
    <w:rsid w:val="00A109F2"/>
    <w:rsid w:val="00A24459"/>
    <w:rsid w:val="00A458F5"/>
    <w:rsid w:val="00A46FBF"/>
    <w:rsid w:val="00A507DD"/>
    <w:rsid w:val="00A54F4B"/>
    <w:rsid w:val="00A605FD"/>
    <w:rsid w:val="00A60FA5"/>
    <w:rsid w:val="00A614BA"/>
    <w:rsid w:val="00A65FAE"/>
    <w:rsid w:val="00A755E7"/>
    <w:rsid w:val="00A77090"/>
    <w:rsid w:val="00A90950"/>
    <w:rsid w:val="00A91889"/>
    <w:rsid w:val="00AA4480"/>
    <w:rsid w:val="00AC3334"/>
    <w:rsid w:val="00AC3375"/>
    <w:rsid w:val="00AC4D11"/>
    <w:rsid w:val="00AD1EB0"/>
    <w:rsid w:val="00AF05B1"/>
    <w:rsid w:val="00AF5688"/>
    <w:rsid w:val="00AF78EB"/>
    <w:rsid w:val="00B015A7"/>
    <w:rsid w:val="00B0543A"/>
    <w:rsid w:val="00B077D1"/>
    <w:rsid w:val="00B22457"/>
    <w:rsid w:val="00B224B8"/>
    <w:rsid w:val="00B52315"/>
    <w:rsid w:val="00B91CFA"/>
    <w:rsid w:val="00B922CB"/>
    <w:rsid w:val="00B93EF9"/>
    <w:rsid w:val="00BA2FE6"/>
    <w:rsid w:val="00BB1D02"/>
    <w:rsid w:val="00BC40E6"/>
    <w:rsid w:val="00BD2AAD"/>
    <w:rsid w:val="00BE18E6"/>
    <w:rsid w:val="00BE23B4"/>
    <w:rsid w:val="00BE5063"/>
    <w:rsid w:val="00C0220A"/>
    <w:rsid w:val="00C024B0"/>
    <w:rsid w:val="00C02FA3"/>
    <w:rsid w:val="00C04FD3"/>
    <w:rsid w:val="00C301E3"/>
    <w:rsid w:val="00C3557B"/>
    <w:rsid w:val="00C401F8"/>
    <w:rsid w:val="00C4075F"/>
    <w:rsid w:val="00C44556"/>
    <w:rsid w:val="00C449CB"/>
    <w:rsid w:val="00C76886"/>
    <w:rsid w:val="00C77845"/>
    <w:rsid w:val="00C979FD"/>
    <w:rsid w:val="00CA08AF"/>
    <w:rsid w:val="00CA722A"/>
    <w:rsid w:val="00CC4D61"/>
    <w:rsid w:val="00CE537E"/>
    <w:rsid w:val="00CE6925"/>
    <w:rsid w:val="00CF3FCD"/>
    <w:rsid w:val="00D06C35"/>
    <w:rsid w:val="00D5513A"/>
    <w:rsid w:val="00D60CE4"/>
    <w:rsid w:val="00D6791C"/>
    <w:rsid w:val="00D70838"/>
    <w:rsid w:val="00D7438C"/>
    <w:rsid w:val="00D9227E"/>
    <w:rsid w:val="00D93AEA"/>
    <w:rsid w:val="00DB3E7E"/>
    <w:rsid w:val="00DC5FD0"/>
    <w:rsid w:val="00DF123E"/>
    <w:rsid w:val="00DF5FD4"/>
    <w:rsid w:val="00E05168"/>
    <w:rsid w:val="00E05BE6"/>
    <w:rsid w:val="00E06F34"/>
    <w:rsid w:val="00E32948"/>
    <w:rsid w:val="00E519A7"/>
    <w:rsid w:val="00E6134E"/>
    <w:rsid w:val="00E655F5"/>
    <w:rsid w:val="00E96622"/>
    <w:rsid w:val="00EA312B"/>
    <w:rsid w:val="00EA421B"/>
    <w:rsid w:val="00EB28CF"/>
    <w:rsid w:val="00ED4D17"/>
    <w:rsid w:val="00ED5E3E"/>
    <w:rsid w:val="00EE3A92"/>
    <w:rsid w:val="00EE4754"/>
    <w:rsid w:val="00EF3D64"/>
    <w:rsid w:val="00F32D2A"/>
    <w:rsid w:val="00F360EC"/>
    <w:rsid w:val="00F3708A"/>
    <w:rsid w:val="00F441A5"/>
    <w:rsid w:val="00F60BFC"/>
    <w:rsid w:val="00F63EAE"/>
    <w:rsid w:val="00F75B75"/>
    <w:rsid w:val="00FB5FF6"/>
    <w:rsid w:val="00FC4F6D"/>
    <w:rsid w:val="00FC6FA4"/>
    <w:rsid w:val="00FE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93175"/>
  <w15:chartTrackingRefBased/>
  <w15:docId w15:val="{9E2264F3-5D85-674F-A9C6-3E81DF3D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rsid w:val="00C301E3"/>
    <w:pPr>
      <w:tabs>
        <w:tab w:val="right" w:leader="dot" w:pos="9350"/>
      </w:tabs>
      <w:spacing w:after="100"/>
    </w:pPr>
    <w:rPr>
      <w:b/>
      <w:bCs/>
      <w:noProof/>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sid w:val="00C76886"/>
    <w:rPr>
      <w:color w:val="605E5C"/>
      <w:shd w:val="clear" w:color="auto" w:fill="E1DFDD"/>
    </w:rPr>
  </w:style>
  <w:style w:type="character" w:styleId="CommentReference">
    <w:name w:val="annotation reference"/>
    <w:basedOn w:val="DefaultParagraphFont"/>
    <w:uiPriority w:val="99"/>
    <w:semiHidden/>
    <w:unhideWhenUsed/>
    <w:rsid w:val="00BE5063"/>
    <w:rPr>
      <w:sz w:val="16"/>
      <w:szCs w:val="16"/>
    </w:rPr>
  </w:style>
  <w:style w:type="character" w:styleId="FollowedHyperlink">
    <w:name w:val="FollowedHyperlink"/>
    <w:basedOn w:val="DefaultParagraphFont"/>
    <w:uiPriority w:val="99"/>
    <w:semiHidden/>
    <w:unhideWhenUsed/>
    <w:rsid w:val="0060325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118">
      <w:bodyDiv w:val="1"/>
      <w:marLeft w:val="0"/>
      <w:marRight w:val="0"/>
      <w:marTop w:val="0"/>
      <w:marBottom w:val="0"/>
      <w:divBdr>
        <w:top w:val="none" w:sz="0" w:space="0" w:color="auto"/>
        <w:left w:val="none" w:sz="0" w:space="0" w:color="auto"/>
        <w:bottom w:val="none" w:sz="0" w:space="0" w:color="auto"/>
        <w:right w:val="none" w:sz="0" w:space="0" w:color="auto"/>
      </w:divBdr>
      <w:divsChild>
        <w:div w:id="789514224">
          <w:marLeft w:val="480"/>
          <w:marRight w:val="0"/>
          <w:marTop w:val="0"/>
          <w:marBottom w:val="0"/>
          <w:divBdr>
            <w:top w:val="none" w:sz="0" w:space="0" w:color="auto"/>
            <w:left w:val="none" w:sz="0" w:space="0" w:color="auto"/>
            <w:bottom w:val="none" w:sz="0" w:space="0" w:color="auto"/>
            <w:right w:val="none" w:sz="0" w:space="0" w:color="auto"/>
          </w:divBdr>
          <w:divsChild>
            <w:div w:id="36130540">
              <w:marLeft w:val="0"/>
              <w:marRight w:val="0"/>
              <w:marTop w:val="0"/>
              <w:marBottom w:val="0"/>
              <w:divBdr>
                <w:top w:val="none" w:sz="0" w:space="0" w:color="auto"/>
                <w:left w:val="none" w:sz="0" w:space="0" w:color="auto"/>
                <w:bottom w:val="none" w:sz="0" w:space="0" w:color="auto"/>
                <w:right w:val="none" w:sz="0" w:space="0" w:color="auto"/>
              </w:divBdr>
            </w:div>
            <w:div w:id="1316834711">
              <w:marLeft w:val="0"/>
              <w:marRight w:val="0"/>
              <w:marTop w:val="0"/>
              <w:marBottom w:val="0"/>
              <w:divBdr>
                <w:top w:val="none" w:sz="0" w:space="0" w:color="auto"/>
                <w:left w:val="none" w:sz="0" w:space="0" w:color="auto"/>
                <w:bottom w:val="none" w:sz="0" w:space="0" w:color="auto"/>
                <w:right w:val="none" w:sz="0" w:space="0" w:color="auto"/>
              </w:divBdr>
            </w:div>
            <w:div w:id="654603629">
              <w:marLeft w:val="0"/>
              <w:marRight w:val="0"/>
              <w:marTop w:val="0"/>
              <w:marBottom w:val="0"/>
              <w:divBdr>
                <w:top w:val="none" w:sz="0" w:space="0" w:color="auto"/>
                <w:left w:val="none" w:sz="0" w:space="0" w:color="auto"/>
                <w:bottom w:val="none" w:sz="0" w:space="0" w:color="auto"/>
                <w:right w:val="none" w:sz="0" w:space="0" w:color="auto"/>
              </w:divBdr>
            </w:div>
            <w:div w:id="10768704">
              <w:marLeft w:val="0"/>
              <w:marRight w:val="0"/>
              <w:marTop w:val="0"/>
              <w:marBottom w:val="0"/>
              <w:divBdr>
                <w:top w:val="none" w:sz="0" w:space="0" w:color="auto"/>
                <w:left w:val="none" w:sz="0" w:space="0" w:color="auto"/>
                <w:bottom w:val="none" w:sz="0" w:space="0" w:color="auto"/>
                <w:right w:val="none" w:sz="0" w:space="0" w:color="auto"/>
              </w:divBdr>
            </w:div>
            <w:div w:id="885606956">
              <w:marLeft w:val="0"/>
              <w:marRight w:val="0"/>
              <w:marTop w:val="0"/>
              <w:marBottom w:val="0"/>
              <w:divBdr>
                <w:top w:val="none" w:sz="0" w:space="0" w:color="auto"/>
                <w:left w:val="none" w:sz="0" w:space="0" w:color="auto"/>
                <w:bottom w:val="none" w:sz="0" w:space="0" w:color="auto"/>
                <w:right w:val="none" w:sz="0" w:space="0" w:color="auto"/>
              </w:divBdr>
            </w:div>
            <w:div w:id="561529175">
              <w:marLeft w:val="0"/>
              <w:marRight w:val="0"/>
              <w:marTop w:val="0"/>
              <w:marBottom w:val="0"/>
              <w:divBdr>
                <w:top w:val="none" w:sz="0" w:space="0" w:color="auto"/>
                <w:left w:val="none" w:sz="0" w:space="0" w:color="auto"/>
                <w:bottom w:val="none" w:sz="0" w:space="0" w:color="auto"/>
                <w:right w:val="none" w:sz="0" w:space="0" w:color="auto"/>
              </w:divBdr>
            </w:div>
            <w:div w:id="1399984329">
              <w:marLeft w:val="0"/>
              <w:marRight w:val="0"/>
              <w:marTop w:val="0"/>
              <w:marBottom w:val="0"/>
              <w:divBdr>
                <w:top w:val="none" w:sz="0" w:space="0" w:color="auto"/>
                <w:left w:val="none" w:sz="0" w:space="0" w:color="auto"/>
                <w:bottom w:val="none" w:sz="0" w:space="0" w:color="auto"/>
                <w:right w:val="none" w:sz="0" w:space="0" w:color="auto"/>
              </w:divBdr>
            </w:div>
            <w:div w:id="1898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42302562">
      <w:bodyDiv w:val="1"/>
      <w:marLeft w:val="0"/>
      <w:marRight w:val="0"/>
      <w:marTop w:val="0"/>
      <w:marBottom w:val="0"/>
      <w:divBdr>
        <w:top w:val="none" w:sz="0" w:space="0" w:color="auto"/>
        <w:left w:val="none" w:sz="0" w:space="0" w:color="auto"/>
        <w:bottom w:val="none" w:sz="0" w:space="0" w:color="auto"/>
        <w:right w:val="none" w:sz="0" w:space="0" w:color="auto"/>
      </w:divBdr>
      <w:divsChild>
        <w:div w:id="465781264">
          <w:marLeft w:val="480"/>
          <w:marRight w:val="0"/>
          <w:marTop w:val="0"/>
          <w:marBottom w:val="0"/>
          <w:divBdr>
            <w:top w:val="none" w:sz="0" w:space="0" w:color="auto"/>
            <w:left w:val="none" w:sz="0" w:space="0" w:color="auto"/>
            <w:bottom w:val="none" w:sz="0" w:space="0" w:color="auto"/>
            <w:right w:val="none" w:sz="0" w:space="0" w:color="auto"/>
          </w:divBdr>
          <w:divsChild>
            <w:div w:id="1052731024">
              <w:marLeft w:val="0"/>
              <w:marRight w:val="0"/>
              <w:marTop w:val="0"/>
              <w:marBottom w:val="0"/>
              <w:divBdr>
                <w:top w:val="none" w:sz="0" w:space="0" w:color="auto"/>
                <w:left w:val="none" w:sz="0" w:space="0" w:color="auto"/>
                <w:bottom w:val="none" w:sz="0" w:space="0" w:color="auto"/>
                <w:right w:val="none" w:sz="0" w:space="0" w:color="auto"/>
              </w:divBdr>
            </w:div>
            <w:div w:id="1225220426">
              <w:marLeft w:val="0"/>
              <w:marRight w:val="0"/>
              <w:marTop w:val="0"/>
              <w:marBottom w:val="0"/>
              <w:divBdr>
                <w:top w:val="none" w:sz="0" w:space="0" w:color="auto"/>
                <w:left w:val="none" w:sz="0" w:space="0" w:color="auto"/>
                <w:bottom w:val="none" w:sz="0" w:space="0" w:color="auto"/>
                <w:right w:val="none" w:sz="0" w:space="0" w:color="auto"/>
              </w:divBdr>
            </w:div>
            <w:div w:id="1890072008">
              <w:marLeft w:val="0"/>
              <w:marRight w:val="0"/>
              <w:marTop w:val="0"/>
              <w:marBottom w:val="0"/>
              <w:divBdr>
                <w:top w:val="none" w:sz="0" w:space="0" w:color="auto"/>
                <w:left w:val="none" w:sz="0" w:space="0" w:color="auto"/>
                <w:bottom w:val="none" w:sz="0" w:space="0" w:color="auto"/>
                <w:right w:val="none" w:sz="0" w:space="0" w:color="auto"/>
              </w:divBdr>
            </w:div>
            <w:div w:id="1452046272">
              <w:marLeft w:val="0"/>
              <w:marRight w:val="0"/>
              <w:marTop w:val="0"/>
              <w:marBottom w:val="0"/>
              <w:divBdr>
                <w:top w:val="none" w:sz="0" w:space="0" w:color="auto"/>
                <w:left w:val="none" w:sz="0" w:space="0" w:color="auto"/>
                <w:bottom w:val="none" w:sz="0" w:space="0" w:color="auto"/>
                <w:right w:val="none" w:sz="0" w:space="0" w:color="auto"/>
              </w:divBdr>
            </w:div>
            <w:div w:id="502823325">
              <w:marLeft w:val="0"/>
              <w:marRight w:val="0"/>
              <w:marTop w:val="0"/>
              <w:marBottom w:val="0"/>
              <w:divBdr>
                <w:top w:val="none" w:sz="0" w:space="0" w:color="auto"/>
                <w:left w:val="none" w:sz="0" w:space="0" w:color="auto"/>
                <w:bottom w:val="none" w:sz="0" w:space="0" w:color="auto"/>
                <w:right w:val="none" w:sz="0" w:space="0" w:color="auto"/>
              </w:divBdr>
            </w:div>
            <w:div w:id="696202402">
              <w:marLeft w:val="0"/>
              <w:marRight w:val="0"/>
              <w:marTop w:val="0"/>
              <w:marBottom w:val="0"/>
              <w:divBdr>
                <w:top w:val="none" w:sz="0" w:space="0" w:color="auto"/>
                <w:left w:val="none" w:sz="0" w:space="0" w:color="auto"/>
                <w:bottom w:val="none" w:sz="0" w:space="0" w:color="auto"/>
                <w:right w:val="none" w:sz="0" w:space="0" w:color="auto"/>
              </w:divBdr>
            </w:div>
            <w:div w:id="1090547712">
              <w:marLeft w:val="0"/>
              <w:marRight w:val="0"/>
              <w:marTop w:val="0"/>
              <w:marBottom w:val="0"/>
              <w:divBdr>
                <w:top w:val="none" w:sz="0" w:space="0" w:color="auto"/>
                <w:left w:val="none" w:sz="0" w:space="0" w:color="auto"/>
                <w:bottom w:val="none" w:sz="0" w:space="0" w:color="auto"/>
                <w:right w:val="none" w:sz="0" w:space="0" w:color="auto"/>
              </w:divBdr>
            </w:div>
            <w:div w:id="18027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0516907">
      <w:bodyDiv w:val="1"/>
      <w:marLeft w:val="0"/>
      <w:marRight w:val="0"/>
      <w:marTop w:val="0"/>
      <w:marBottom w:val="0"/>
      <w:divBdr>
        <w:top w:val="none" w:sz="0" w:space="0" w:color="auto"/>
        <w:left w:val="none" w:sz="0" w:space="0" w:color="auto"/>
        <w:bottom w:val="none" w:sz="0" w:space="0" w:color="auto"/>
        <w:right w:val="none" w:sz="0" w:space="0" w:color="auto"/>
      </w:divBdr>
      <w:divsChild>
        <w:div w:id="1574270905">
          <w:marLeft w:val="480"/>
          <w:marRight w:val="0"/>
          <w:marTop w:val="0"/>
          <w:marBottom w:val="0"/>
          <w:divBdr>
            <w:top w:val="none" w:sz="0" w:space="0" w:color="auto"/>
            <w:left w:val="none" w:sz="0" w:space="0" w:color="auto"/>
            <w:bottom w:val="none" w:sz="0" w:space="0" w:color="auto"/>
            <w:right w:val="none" w:sz="0" w:space="0" w:color="auto"/>
          </w:divBdr>
          <w:divsChild>
            <w:div w:id="2131589526">
              <w:marLeft w:val="0"/>
              <w:marRight w:val="0"/>
              <w:marTop w:val="0"/>
              <w:marBottom w:val="0"/>
              <w:divBdr>
                <w:top w:val="none" w:sz="0" w:space="0" w:color="auto"/>
                <w:left w:val="none" w:sz="0" w:space="0" w:color="auto"/>
                <w:bottom w:val="none" w:sz="0" w:space="0" w:color="auto"/>
                <w:right w:val="none" w:sz="0" w:space="0" w:color="auto"/>
              </w:divBdr>
            </w:div>
            <w:div w:id="306128828">
              <w:marLeft w:val="0"/>
              <w:marRight w:val="0"/>
              <w:marTop w:val="0"/>
              <w:marBottom w:val="0"/>
              <w:divBdr>
                <w:top w:val="none" w:sz="0" w:space="0" w:color="auto"/>
                <w:left w:val="none" w:sz="0" w:space="0" w:color="auto"/>
                <w:bottom w:val="none" w:sz="0" w:space="0" w:color="auto"/>
                <w:right w:val="none" w:sz="0" w:space="0" w:color="auto"/>
              </w:divBdr>
            </w:div>
            <w:div w:id="1532105000">
              <w:marLeft w:val="0"/>
              <w:marRight w:val="0"/>
              <w:marTop w:val="0"/>
              <w:marBottom w:val="0"/>
              <w:divBdr>
                <w:top w:val="none" w:sz="0" w:space="0" w:color="auto"/>
                <w:left w:val="none" w:sz="0" w:space="0" w:color="auto"/>
                <w:bottom w:val="none" w:sz="0" w:space="0" w:color="auto"/>
                <w:right w:val="none" w:sz="0" w:space="0" w:color="auto"/>
              </w:divBdr>
            </w:div>
            <w:div w:id="805314441">
              <w:marLeft w:val="0"/>
              <w:marRight w:val="0"/>
              <w:marTop w:val="0"/>
              <w:marBottom w:val="0"/>
              <w:divBdr>
                <w:top w:val="none" w:sz="0" w:space="0" w:color="auto"/>
                <w:left w:val="none" w:sz="0" w:space="0" w:color="auto"/>
                <w:bottom w:val="none" w:sz="0" w:space="0" w:color="auto"/>
                <w:right w:val="none" w:sz="0" w:space="0" w:color="auto"/>
              </w:divBdr>
            </w:div>
            <w:div w:id="1576430463">
              <w:marLeft w:val="0"/>
              <w:marRight w:val="0"/>
              <w:marTop w:val="0"/>
              <w:marBottom w:val="0"/>
              <w:divBdr>
                <w:top w:val="none" w:sz="0" w:space="0" w:color="auto"/>
                <w:left w:val="none" w:sz="0" w:space="0" w:color="auto"/>
                <w:bottom w:val="none" w:sz="0" w:space="0" w:color="auto"/>
                <w:right w:val="none" w:sz="0" w:space="0" w:color="auto"/>
              </w:divBdr>
            </w:div>
            <w:div w:id="228003565">
              <w:marLeft w:val="0"/>
              <w:marRight w:val="0"/>
              <w:marTop w:val="0"/>
              <w:marBottom w:val="0"/>
              <w:divBdr>
                <w:top w:val="none" w:sz="0" w:space="0" w:color="auto"/>
                <w:left w:val="none" w:sz="0" w:space="0" w:color="auto"/>
                <w:bottom w:val="none" w:sz="0" w:space="0" w:color="auto"/>
                <w:right w:val="none" w:sz="0" w:space="0" w:color="auto"/>
              </w:divBdr>
            </w:div>
            <w:div w:id="819267528">
              <w:marLeft w:val="0"/>
              <w:marRight w:val="0"/>
              <w:marTop w:val="0"/>
              <w:marBottom w:val="0"/>
              <w:divBdr>
                <w:top w:val="none" w:sz="0" w:space="0" w:color="auto"/>
                <w:left w:val="none" w:sz="0" w:space="0" w:color="auto"/>
                <w:bottom w:val="none" w:sz="0" w:space="0" w:color="auto"/>
                <w:right w:val="none" w:sz="0" w:space="0" w:color="auto"/>
              </w:divBdr>
            </w:div>
            <w:div w:id="2136214118">
              <w:marLeft w:val="0"/>
              <w:marRight w:val="0"/>
              <w:marTop w:val="0"/>
              <w:marBottom w:val="0"/>
              <w:divBdr>
                <w:top w:val="none" w:sz="0" w:space="0" w:color="auto"/>
                <w:left w:val="none" w:sz="0" w:space="0" w:color="auto"/>
                <w:bottom w:val="none" w:sz="0" w:space="0" w:color="auto"/>
                <w:right w:val="none" w:sz="0" w:space="0" w:color="auto"/>
              </w:divBdr>
            </w:div>
            <w:div w:id="935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75392461">
      <w:bodyDiv w:val="1"/>
      <w:marLeft w:val="0"/>
      <w:marRight w:val="0"/>
      <w:marTop w:val="0"/>
      <w:marBottom w:val="0"/>
      <w:divBdr>
        <w:top w:val="none" w:sz="0" w:space="0" w:color="auto"/>
        <w:left w:val="none" w:sz="0" w:space="0" w:color="auto"/>
        <w:bottom w:val="none" w:sz="0" w:space="0" w:color="auto"/>
        <w:right w:val="none" w:sz="0" w:space="0" w:color="auto"/>
      </w:divBdr>
    </w:div>
    <w:div w:id="395935369">
      <w:bodyDiv w:val="1"/>
      <w:marLeft w:val="0"/>
      <w:marRight w:val="0"/>
      <w:marTop w:val="0"/>
      <w:marBottom w:val="0"/>
      <w:divBdr>
        <w:top w:val="none" w:sz="0" w:space="0" w:color="auto"/>
        <w:left w:val="none" w:sz="0" w:space="0" w:color="auto"/>
        <w:bottom w:val="none" w:sz="0" w:space="0" w:color="auto"/>
        <w:right w:val="none" w:sz="0" w:space="0" w:color="auto"/>
      </w:divBdr>
      <w:divsChild>
        <w:div w:id="871111275">
          <w:marLeft w:val="480"/>
          <w:marRight w:val="0"/>
          <w:marTop w:val="0"/>
          <w:marBottom w:val="0"/>
          <w:divBdr>
            <w:top w:val="none" w:sz="0" w:space="0" w:color="auto"/>
            <w:left w:val="none" w:sz="0" w:space="0" w:color="auto"/>
            <w:bottom w:val="none" w:sz="0" w:space="0" w:color="auto"/>
            <w:right w:val="none" w:sz="0" w:space="0" w:color="auto"/>
          </w:divBdr>
          <w:divsChild>
            <w:div w:id="12865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24637373">
      <w:bodyDiv w:val="1"/>
      <w:marLeft w:val="0"/>
      <w:marRight w:val="0"/>
      <w:marTop w:val="0"/>
      <w:marBottom w:val="0"/>
      <w:divBdr>
        <w:top w:val="none" w:sz="0" w:space="0" w:color="auto"/>
        <w:left w:val="none" w:sz="0" w:space="0" w:color="auto"/>
        <w:bottom w:val="none" w:sz="0" w:space="0" w:color="auto"/>
        <w:right w:val="none" w:sz="0" w:space="0" w:color="auto"/>
      </w:divBdr>
      <w:divsChild>
        <w:div w:id="1316764377">
          <w:marLeft w:val="480"/>
          <w:marRight w:val="0"/>
          <w:marTop w:val="0"/>
          <w:marBottom w:val="0"/>
          <w:divBdr>
            <w:top w:val="none" w:sz="0" w:space="0" w:color="auto"/>
            <w:left w:val="none" w:sz="0" w:space="0" w:color="auto"/>
            <w:bottom w:val="none" w:sz="0" w:space="0" w:color="auto"/>
            <w:right w:val="none" w:sz="0" w:space="0" w:color="auto"/>
          </w:divBdr>
          <w:divsChild>
            <w:div w:id="1295059945">
              <w:marLeft w:val="0"/>
              <w:marRight w:val="0"/>
              <w:marTop w:val="0"/>
              <w:marBottom w:val="240"/>
              <w:divBdr>
                <w:top w:val="none" w:sz="0" w:space="0" w:color="auto"/>
                <w:left w:val="none" w:sz="0" w:space="0" w:color="auto"/>
                <w:bottom w:val="none" w:sz="0" w:space="0" w:color="auto"/>
                <w:right w:val="none" w:sz="0" w:space="0" w:color="auto"/>
              </w:divBdr>
            </w:div>
            <w:div w:id="80151180">
              <w:marLeft w:val="0"/>
              <w:marRight w:val="0"/>
              <w:marTop w:val="0"/>
              <w:marBottom w:val="240"/>
              <w:divBdr>
                <w:top w:val="none" w:sz="0" w:space="0" w:color="auto"/>
                <w:left w:val="none" w:sz="0" w:space="0" w:color="auto"/>
                <w:bottom w:val="none" w:sz="0" w:space="0" w:color="auto"/>
                <w:right w:val="none" w:sz="0" w:space="0" w:color="auto"/>
              </w:divBdr>
            </w:div>
            <w:div w:id="1339425420">
              <w:marLeft w:val="0"/>
              <w:marRight w:val="0"/>
              <w:marTop w:val="0"/>
              <w:marBottom w:val="240"/>
              <w:divBdr>
                <w:top w:val="none" w:sz="0" w:space="0" w:color="auto"/>
                <w:left w:val="none" w:sz="0" w:space="0" w:color="auto"/>
                <w:bottom w:val="none" w:sz="0" w:space="0" w:color="auto"/>
                <w:right w:val="none" w:sz="0" w:space="0" w:color="auto"/>
              </w:divBdr>
            </w:div>
            <w:div w:id="1159270869">
              <w:marLeft w:val="0"/>
              <w:marRight w:val="0"/>
              <w:marTop w:val="0"/>
              <w:marBottom w:val="240"/>
              <w:divBdr>
                <w:top w:val="none" w:sz="0" w:space="0" w:color="auto"/>
                <w:left w:val="none" w:sz="0" w:space="0" w:color="auto"/>
                <w:bottom w:val="none" w:sz="0" w:space="0" w:color="auto"/>
                <w:right w:val="none" w:sz="0" w:space="0" w:color="auto"/>
              </w:divBdr>
            </w:div>
            <w:div w:id="654840783">
              <w:marLeft w:val="0"/>
              <w:marRight w:val="0"/>
              <w:marTop w:val="0"/>
              <w:marBottom w:val="240"/>
              <w:divBdr>
                <w:top w:val="none" w:sz="0" w:space="0" w:color="auto"/>
                <w:left w:val="none" w:sz="0" w:space="0" w:color="auto"/>
                <w:bottom w:val="none" w:sz="0" w:space="0" w:color="auto"/>
                <w:right w:val="none" w:sz="0" w:space="0" w:color="auto"/>
              </w:divBdr>
            </w:div>
            <w:div w:id="1843660211">
              <w:marLeft w:val="0"/>
              <w:marRight w:val="0"/>
              <w:marTop w:val="0"/>
              <w:marBottom w:val="240"/>
              <w:divBdr>
                <w:top w:val="none" w:sz="0" w:space="0" w:color="auto"/>
                <w:left w:val="none" w:sz="0" w:space="0" w:color="auto"/>
                <w:bottom w:val="none" w:sz="0" w:space="0" w:color="auto"/>
                <w:right w:val="none" w:sz="0" w:space="0" w:color="auto"/>
              </w:divBdr>
            </w:div>
            <w:div w:id="673999142">
              <w:marLeft w:val="0"/>
              <w:marRight w:val="0"/>
              <w:marTop w:val="0"/>
              <w:marBottom w:val="240"/>
              <w:divBdr>
                <w:top w:val="none" w:sz="0" w:space="0" w:color="auto"/>
                <w:left w:val="none" w:sz="0" w:space="0" w:color="auto"/>
                <w:bottom w:val="none" w:sz="0" w:space="0" w:color="auto"/>
                <w:right w:val="none" w:sz="0" w:space="0" w:color="auto"/>
              </w:divBdr>
            </w:div>
            <w:div w:id="2612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2528">
      <w:bodyDiv w:val="1"/>
      <w:marLeft w:val="0"/>
      <w:marRight w:val="0"/>
      <w:marTop w:val="0"/>
      <w:marBottom w:val="0"/>
      <w:divBdr>
        <w:top w:val="none" w:sz="0" w:space="0" w:color="auto"/>
        <w:left w:val="none" w:sz="0" w:space="0" w:color="auto"/>
        <w:bottom w:val="none" w:sz="0" w:space="0" w:color="auto"/>
        <w:right w:val="none" w:sz="0" w:space="0" w:color="auto"/>
      </w:divBdr>
    </w:div>
    <w:div w:id="637536814">
      <w:bodyDiv w:val="1"/>
      <w:marLeft w:val="0"/>
      <w:marRight w:val="0"/>
      <w:marTop w:val="0"/>
      <w:marBottom w:val="0"/>
      <w:divBdr>
        <w:top w:val="none" w:sz="0" w:space="0" w:color="auto"/>
        <w:left w:val="none" w:sz="0" w:space="0" w:color="auto"/>
        <w:bottom w:val="none" w:sz="0" w:space="0" w:color="auto"/>
        <w:right w:val="none" w:sz="0" w:space="0" w:color="auto"/>
      </w:divBdr>
      <w:divsChild>
        <w:div w:id="1002511500">
          <w:marLeft w:val="480"/>
          <w:marRight w:val="0"/>
          <w:marTop w:val="0"/>
          <w:marBottom w:val="0"/>
          <w:divBdr>
            <w:top w:val="none" w:sz="0" w:space="0" w:color="auto"/>
            <w:left w:val="none" w:sz="0" w:space="0" w:color="auto"/>
            <w:bottom w:val="none" w:sz="0" w:space="0" w:color="auto"/>
            <w:right w:val="none" w:sz="0" w:space="0" w:color="auto"/>
          </w:divBdr>
          <w:divsChild>
            <w:div w:id="174543499">
              <w:marLeft w:val="0"/>
              <w:marRight w:val="0"/>
              <w:marTop w:val="0"/>
              <w:marBottom w:val="240"/>
              <w:divBdr>
                <w:top w:val="none" w:sz="0" w:space="0" w:color="auto"/>
                <w:left w:val="none" w:sz="0" w:space="0" w:color="auto"/>
                <w:bottom w:val="none" w:sz="0" w:space="0" w:color="auto"/>
                <w:right w:val="none" w:sz="0" w:space="0" w:color="auto"/>
              </w:divBdr>
            </w:div>
            <w:div w:id="1100300278">
              <w:marLeft w:val="0"/>
              <w:marRight w:val="0"/>
              <w:marTop w:val="0"/>
              <w:marBottom w:val="240"/>
              <w:divBdr>
                <w:top w:val="none" w:sz="0" w:space="0" w:color="auto"/>
                <w:left w:val="none" w:sz="0" w:space="0" w:color="auto"/>
                <w:bottom w:val="none" w:sz="0" w:space="0" w:color="auto"/>
                <w:right w:val="none" w:sz="0" w:space="0" w:color="auto"/>
              </w:divBdr>
            </w:div>
            <w:div w:id="1798062442">
              <w:marLeft w:val="0"/>
              <w:marRight w:val="0"/>
              <w:marTop w:val="0"/>
              <w:marBottom w:val="240"/>
              <w:divBdr>
                <w:top w:val="none" w:sz="0" w:space="0" w:color="auto"/>
                <w:left w:val="none" w:sz="0" w:space="0" w:color="auto"/>
                <w:bottom w:val="none" w:sz="0" w:space="0" w:color="auto"/>
                <w:right w:val="none" w:sz="0" w:space="0" w:color="auto"/>
              </w:divBdr>
            </w:div>
            <w:div w:id="311830812">
              <w:marLeft w:val="0"/>
              <w:marRight w:val="0"/>
              <w:marTop w:val="0"/>
              <w:marBottom w:val="240"/>
              <w:divBdr>
                <w:top w:val="none" w:sz="0" w:space="0" w:color="auto"/>
                <w:left w:val="none" w:sz="0" w:space="0" w:color="auto"/>
                <w:bottom w:val="none" w:sz="0" w:space="0" w:color="auto"/>
                <w:right w:val="none" w:sz="0" w:space="0" w:color="auto"/>
              </w:divBdr>
            </w:div>
            <w:div w:id="803304549">
              <w:marLeft w:val="0"/>
              <w:marRight w:val="0"/>
              <w:marTop w:val="0"/>
              <w:marBottom w:val="240"/>
              <w:divBdr>
                <w:top w:val="none" w:sz="0" w:space="0" w:color="auto"/>
                <w:left w:val="none" w:sz="0" w:space="0" w:color="auto"/>
                <w:bottom w:val="none" w:sz="0" w:space="0" w:color="auto"/>
                <w:right w:val="none" w:sz="0" w:space="0" w:color="auto"/>
              </w:divBdr>
            </w:div>
            <w:div w:id="1834754722">
              <w:marLeft w:val="0"/>
              <w:marRight w:val="0"/>
              <w:marTop w:val="0"/>
              <w:marBottom w:val="240"/>
              <w:divBdr>
                <w:top w:val="none" w:sz="0" w:space="0" w:color="auto"/>
                <w:left w:val="none" w:sz="0" w:space="0" w:color="auto"/>
                <w:bottom w:val="none" w:sz="0" w:space="0" w:color="auto"/>
                <w:right w:val="none" w:sz="0" w:space="0" w:color="auto"/>
              </w:divBdr>
            </w:div>
            <w:div w:id="574626468">
              <w:marLeft w:val="0"/>
              <w:marRight w:val="0"/>
              <w:marTop w:val="0"/>
              <w:marBottom w:val="240"/>
              <w:divBdr>
                <w:top w:val="none" w:sz="0" w:space="0" w:color="auto"/>
                <w:left w:val="none" w:sz="0" w:space="0" w:color="auto"/>
                <w:bottom w:val="none" w:sz="0" w:space="0" w:color="auto"/>
                <w:right w:val="none" w:sz="0" w:space="0" w:color="auto"/>
              </w:divBdr>
            </w:div>
            <w:div w:id="5982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75759246">
      <w:bodyDiv w:val="1"/>
      <w:marLeft w:val="0"/>
      <w:marRight w:val="0"/>
      <w:marTop w:val="0"/>
      <w:marBottom w:val="0"/>
      <w:divBdr>
        <w:top w:val="none" w:sz="0" w:space="0" w:color="auto"/>
        <w:left w:val="none" w:sz="0" w:space="0" w:color="auto"/>
        <w:bottom w:val="none" w:sz="0" w:space="0" w:color="auto"/>
        <w:right w:val="none" w:sz="0" w:space="0" w:color="auto"/>
      </w:divBdr>
    </w:div>
    <w:div w:id="810442954">
      <w:bodyDiv w:val="1"/>
      <w:marLeft w:val="0"/>
      <w:marRight w:val="0"/>
      <w:marTop w:val="0"/>
      <w:marBottom w:val="0"/>
      <w:divBdr>
        <w:top w:val="none" w:sz="0" w:space="0" w:color="auto"/>
        <w:left w:val="none" w:sz="0" w:space="0" w:color="auto"/>
        <w:bottom w:val="none" w:sz="0" w:space="0" w:color="auto"/>
        <w:right w:val="none" w:sz="0" w:space="0" w:color="auto"/>
      </w:divBdr>
    </w:div>
    <w:div w:id="926497314">
      <w:bodyDiv w:val="1"/>
      <w:marLeft w:val="0"/>
      <w:marRight w:val="0"/>
      <w:marTop w:val="0"/>
      <w:marBottom w:val="0"/>
      <w:divBdr>
        <w:top w:val="none" w:sz="0" w:space="0" w:color="auto"/>
        <w:left w:val="none" w:sz="0" w:space="0" w:color="auto"/>
        <w:bottom w:val="none" w:sz="0" w:space="0" w:color="auto"/>
        <w:right w:val="none" w:sz="0" w:space="0" w:color="auto"/>
      </w:divBdr>
    </w:div>
    <w:div w:id="1027100098">
      <w:bodyDiv w:val="1"/>
      <w:marLeft w:val="0"/>
      <w:marRight w:val="0"/>
      <w:marTop w:val="0"/>
      <w:marBottom w:val="0"/>
      <w:divBdr>
        <w:top w:val="none" w:sz="0" w:space="0" w:color="auto"/>
        <w:left w:val="none" w:sz="0" w:space="0" w:color="auto"/>
        <w:bottom w:val="none" w:sz="0" w:space="0" w:color="auto"/>
        <w:right w:val="none" w:sz="0" w:space="0" w:color="auto"/>
      </w:divBdr>
      <w:divsChild>
        <w:div w:id="1028028402">
          <w:marLeft w:val="480"/>
          <w:marRight w:val="0"/>
          <w:marTop w:val="0"/>
          <w:marBottom w:val="0"/>
          <w:divBdr>
            <w:top w:val="none" w:sz="0" w:space="0" w:color="auto"/>
            <w:left w:val="none" w:sz="0" w:space="0" w:color="auto"/>
            <w:bottom w:val="none" w:sz="0" w:space="0" w:color="auto"/>
            <w:right w:val="none" w:sz="0" w:space="0" w:color="auto"/>
          </w:divBdr>
          <w:divsChild>
            <w:div w:id="1974359667">
              <w:marLeft w:val="0"/>
              <w:marRight w:val="0"/>
              <w:marTop w:val="0"/>
              <w:marBottom w:val="0"/>
              <w:divBdr>
                <w:top w:val="none" w:sz="0" w:space="0" w:color="auto"/>
                <w:left w:val="none" w:sz="0" w:space="0" w:color="auto"/>
                <w:bottom w:val="none" w:sz="0" w:space="0" w:color="auto"/>
                <w:right w:val="none" w:sz="0" w:space="0" w:color="auto"/>
              </w:divBdr>
            </w:div>
            <w:div w:id="227887594">
              <w:marLeft w:val="0"/>
              <w:marRight w:val="0"/>
              <w:marTop w:val="0"/>
              <w:marBottom w:val="0"/>
              <w:divBdr>
                <w:top w:val="none" w:sz="0" w:space="0" w:color="auto"/>
                <w:left w:val="none" w:sz="0" w:space="0" w:color="auto"/>
                <w:bottom w:val="none" w:sz="0" w:space="0" w:color="auto"/>
                <w:right w:val="none" w:sz="0" w:space="0" w:color="auto"/>
              </w:divBdr>
            </w:div>
            <w:div w:id="704911222">
              <w:marLeft w:val="0"/>
              <w:marRight w:val="0"/>
              <w:marTop w:val="0"/>
              <w:marBottom w:val="0"/>
              <w:divBdr>
                <w:top w:val="none" w:sz="0" w:space="0" w:color="auto"/>
                <w:left w:val="none" w:sz="0" w:space="0" w:color="auto"/>
                <w:bottom w:val="none" w:sz="0" w:space="0" w:color="auto"/>
                <w:right w:val="none" w:sz="0" w:space="0" w:color="auto"/>
              </w:divBdr>
            </w:div>
            <w:div w:id="522598188">
              <w:marLeft w:val="0"/>
              <w:marRight w:val="0"/>
              <w:marTop w:val="0"/>
              <w:marBottom w:val="0"/>
              <w:divBdr>
                <w:top w:val="none" w:sz="0" w:space="0" w:color="auto"/>
                <w:left w:val="none" w:sz="0" w:space="0" w:color="auto"/>
                <w:bottom w:val="none" w:sz="0" w:space="0" w:color="auto"/>
                <w:right w:val="none" w:sz="0" w:space="0" w:color="auto"/>
              </w:divBdr>
            </w:div>
            <w:div w:id="540023606">
              <w:marLeft w:val="0"/>
              <w:marRight w:val="0"/>
              <w:marTop w:val="0"/>
              <w:marBottom w:val="0"/>
              <w:divBdr>
                <w:top w:val="none" w:sz="0" w:space="0" w:color="auto"/>
                <w:left w:val="none" w:sz="0" w:space="0" w:color="auto"/>
                <w:bottom w:val="none" w:sz="0" w:space="0" w:color="auto"/>
                <w:right w:val="none" w:sz="0" w:space="0" w:color="auto"/>
              </w:divBdr>
            </w:div>
            <w:div w:id="1798445452">
              <w:marLeft w:val="0"/>
              <w:marRight w:val="0"/>
              <w:marTop w:val="0"/>
              <w:marBottom w:val="0"/>
              <w:divBdr>
                <w:top w:val="none" w:sz="0" w:space="0" w:color="auto"/>
                <w:left w:val="none" w:sz="0" w:space="0" w:color="auto"/>
                <w:bottom w:val="none" w:sz="0" w:space="0" w:color="auto"/>
                <w:right w:val="none" w:sz="0" w:space="0" w:color="auto"/>
              </w:divBdr>
            </w:div>
            <w:div w:id="568227992">
              <w:marLeft w:val="0"/>
              <w:marRight w:val="0"/>
              <w:marTop w:val="0"/>
              <w:marBottom w:val="0"/>
              <w:divBdr>
                <w:top w:val="none" w:sz="0" w:space="0" w:color="auto"/>
                <w:left w:val="none" w:sz="0" w:space="0" w:color="auto"/>
                <w:bottom w:val="none" w:sz="0" w:space="0" w:color="auto"/>
                <w:right w:val="none" w:sz="0" w:space="0" w:color="auto"/>
              </w:divBdr>
            </w:div>
            <w:div w:id="2494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621052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802">
          <w:marLeft w:val="480"/>
          <w:marRight w:val="0"/>
          <w:marTop w:val="0"/>
          <w:marBottom w:val="0"/>
          <w:divBdr>
            <w:top w:val="none" w:sz="0" w:space="0" w:color="auto"/>
            <w:left w:val="none" w:sz="0" w:space="0" w:color="auto"/>
            <w:bottom w:val="none" w:sz="0" w:space="0" w:color="auto"/>
            <w:right w:val="none" w:sz="0" w:space="0" w:color="auto"/>
          </w:divBdr>
          <w:divsChild>
            <w:div w:id="1693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40308112">
      <w:bodyDiv w:val="1"/>
      <w:marLeft w:val="0"/>
      <w:marRight w:val="0"/>
      <w:marTop w:val="0"/>
      <w:marBottom w:val="0"/>
      <w:divBdr>
        <w:top w:val="none" w:sz="0" w:space="0" w:color="auto"/>
        <w:left w:val="none" w:sz="0" w:space="0" w:color="auto"/>
        <w:bottom w:val="none" w:sz="0" w:space="0" w:color="auto"/>
        <w:right w:val="none" w:sz="0" w:space="0" w:color="auto"/>
      </w:divBdr>
    </w:div>
    <w:div w:id="1345479167">
      <w:bodyDiv w:val="1"/>
      <w:marLeft w:val="0"/>
      <w:marRight w:val="0"/>
      <w:marTop w:val="0"/>
      <w:marBottom w:val="0"/>
      <w:divBdr>
        <w:top w:val="none" w:sz="0" w:space="0" w:color="auto"/>
        <w:left w:val="none" w:sz="0" w:space="0" w:color="auto"/>
        <w:bottom w:val="none" w:sz="0" w:space="0" w:color="auto"/>
        <w:right w:val="none" w:sz="0" w:space="0" w:color="auto"/>
      </w:divBdr>
      <w:divsChild>
        <w:div w:id="2079397578">
          <w:marLeft w:val="480"/>
          <w:marRight w:val="0"/>
          <w:marTop w:val="0"/>
          <w:marBottom w:val="0"/>
          <w:divBdr>
            <w:top w:val="none" w:sz="0" w:space="0" w:color="auto"/>
            <w:left w:val="none" w:sz="0" w:space="0" w:color="auto"/>
            <w:bottom w:val="none" w:sz="0" w:space="0" w:color="auto"/>
            <w:right w:val="none" w:sz="0" w:space="0" w:color="auto"/>
          </w:divBdr>
          <w:divsChild>
            <w:div w:id="11106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7072">
      <w:bodyDiv w:val="1"/>
      <w:marLeft w:val="0"/>
      <w:marRight w:val="0"/>
      <w:marTop w:val="0"/>
      <w:marBottom w:val="0"/>
      <w:divBdr>
        <w:top w:val="none" w:sz="0" w:space="0" w:color="auto"/>
        <w:left w:val="none" w:sz="0" w:space="0" w:color="auto"/>
        <w:bottom w:val="none" w:sz="0" w:space="0" w:color="auto"/>
        <w:right w:val="none" w:sz="0" w:space="0" w:color="auto"/>
      </w:divBdr>
      <w:divsChild>
        <w:div w:id="114641016">
          <w:marLeft w:val="480"/>
          <w:marRight w:val="0"/>
          <w:marTop w:val="0"/>
          <w:marBottom w:val="0"/>
          <w:divBdr>
            <w:top w:val="none" w:sz="0" w:space="0" w:color="auto"/>
            <w:left w:val="none" w:sz="0" w:space="0" w:color="auto"/>
            <w:bottom w:val="none" w:sz="0" w:space="0" w:color="auto"/>
            <w:right w:val="none" w:sz="0" w:space="0" w:color="auto"/>
          </w:divBdr>
          <w:divsChild>
            <w:div w:id="1038159966">
              <w:marLeft w:val="0"/>
              <w:marRight w:val="0"/>
              <w:marTop w:val="0"/>
              <w:marBottom w:val="0"/>
              <w:divBdr>
                <w:top w:val="none" w:sz="0" w:space="0" w:color="auto"/>
                <w:left w:val="none" w:sz="0" w:space="0" w:color="auto"/>
                <w:bottom w:val="none" w:sz="0" w:space="0" w:color="auto"/>
                <w:right w:val="none" w:sz="0" w:space="0" w:color="auto"/>
              </w:divBdr>
            </w:div>
            <w:div w:id="1853491900">
              <w:marLeft w:val="0"/>
              <w:marRight w:val="0"/>
              <w:marTop w:val="0"/>
              <w:marBottom w:val="0"/>
              <w:divBdr>
                <w:top w:val="none" w:sz="0" w:space="0" w:color="auto"/>
                <w:left w:val="none" w:sz="0" w:space="0" w:color="auto"/>
                <w:bottom w:val="none" w:sz="0" w:space="0" w:color="auto"/>
                <w:right w:val="none" w:sz="0" w:space="0" w:color="auto"/>
              </w:divBdr>
            </w:div>
            <w:div w:id="1501965546">
              <w:marLeft w:val="0"/>
              <w:marRight w:val="0"/>
              <w:marTop w:val="0"/>
              <w:marBottom w:val="0"/>
              <w:divBdr>
                <w:top w:val="none" w:sz="0" w:space="0" w:color="auto"/>
                <w:left w:val="none" w:sz="0" w:space="0" w:color="auto"/>
                <w:bottom w:val="none" w:sz="0" w:space="0" w:color="auto"/>
                <w:right w:val="none" w:sz="0" w:space="0" w:color="auto"/>
              </w:divBdr>
            </w:div>
            <w:div w:id="551045482">
              <w:marLeft w:val="0"/>
              <w:marRight w:val="0"/>
              <w:marTop w:val="0"/>
              <w:marBottom w:val="0"/>
              <w:divBdr>
                <w:top w:val="none" w:sz="0" w:space="0" w:color="auto"/>
                <w:left w:val="none" w:sz="0" w:space="0" w:color="auto"/>
                <w:bottom w:val="none" w:sz="0" w:space="0" w:color="auto"/>
                <w:right w:val="none" w:sz="0" w:space="0" w:color="auto"/>
              </w:divBdr>
            </w:div>
            <w:div w:id="121074035">
              <w:marLeft w:val="0"/>
              <w:marRight w:val="0"/>
              <w:marTop w:val="0"/>
              <w:marBottom w:val="0"/>
              <w:divBdr>
                <w:top w:val="none" w:sz="0" w:space="0" w:color="auto"/>
                <w:left w:val="none" w:sz="0" w:space="0" w:color="auto"/>
                <w:bottom w:val="none" w:sz="0" w:space="0" w:color="auto"/>
                <w:right w:val="none" w:sz="0" w:space="0" w:color="auto"/>
              </w:divBdr>
            </w:div>
            <w:div w:id="1753745128">
              <w:marLeft w:val="0"/>
              <w:marRight w:val="0"/>
              <w:marTop w:val="0"/>
              <w:marBottom w:val="0"/>
              <w:divBdr>
                <w:top w:val="none" w:sz="0" w:space="0" w:color="auto"/>
                <w:left w:val="none" w:sz="0" w:space="0" w:color="auto"/>
                <w:bottom w:val="none" w:sz="0" w:space="0" w:color="auto"/>
                <w:right w:val="none" w:sz="0" w:space="0" w:color="auto"/>
              </w:divBdr>
            </w:div>
            <w:div w:id="789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4737">
      <w:bodyDiv w:val="1"/>
      <w:marLeft w:val="0"/>
      <w:marRight w:val="0"/>
      <w:marTop w:val="0"/>
      <w:marBottom w:val="0"/>
      <w:divBdr>
        <w:top w:val="none" w:sz="0" w:space="0" w:color="auto"/>
        <w:left w:val="none" w:sz="0" w:space="0" w:color="auto"/>
        <w:bottom w:val="none" w:sz="0" w:space="0" w:color="auto"/>
        <w:right w:val="none" w:sz="0" w:space="0" w:color="auto"/>
      </w:divBdr>
      <w:divsChild>
        <w:div w:id="1269584313">
          <w:marLeft w:val="480"/>
          <w:marRight w:val="0"/>
          <w:marTop w:val="0"/>
          <w:marBottom w:val="0"/>
          <w:divBdr>
            <w:top w:val="none" w:sz="0" w:space="0" w:color="auto"/>
            <w:left w:val="none" w:sz="0" w:space="0" w:color="auto"/>
            <w:bottom w:val="none" w:sz="0" w:space="0" w:color="auto"/>
            <w:right w:val="none" w:sz="0" w:space="0" w:color="auto"/>
          </w:divBdr>
          <w:divsChild>
            <w:div w:id="929585197">
              <w:marLeft w:val="0"/>
              <w:marRight w:val="0"/>
              <w:marTop w:val="0"/>
              <w:marBottom w:val="0"/>
              <w:divBdr>
                <w:top w:val="none" w:sz="0" w:space="0" w:color="auto"/>
                <w:left w:val="none" w:sz="0" w:space="0" w:color="auto"/>
                <w:bottom w:val="none" w:sz="0" w:space="0" w:color="auto"/>
                <w:right w:val="none" w:sz="0" w:space="0" w:color="auto"/>
              </w:divBdr>
            </w:div>
            <w:div w:id="1192762668">
              <w:marLeft w:val="0"/>
              <w:marRight w:val="0"/>
              <w:marTop w:val="0"/>
              <w:marBottom w:val="0"/>
              <w:divBdr>
                <w:top w:val="none" w:sz="0" w:space="0" w:color="auto"/>
                <w:left w:val="none" w:sz="0" w:space="0" w:color="auto"/>
                <w:bottom w:val="none" w:sz="0" w:space="0" w:color="auto"/>
                <w:right w:val="none" w:sz="0" w:space="0" w:color="auto"/>
              </w:divBdr>
            </w:div>
            <w:div w:id="554002296">
              <w:marLeft w:val="0"/>
              <w:marRight w:val="0"/>
              <w:marTop w:val="0"/>
              <w:marBottom w:val="0"/>
              <w:divBdr>
                <w:top w:val="none" w:sz="0" w:space="0" w:color="auto"/>
                <w:left w:val="none" w:sz="0" w:space="0" w:color="auto"/>
                <w:bottom w:val="none" w:sz="0" w:space="0" w:color="auto"/>
                <w:right w:val="none" w:sz="0" w:space="0" w:color="auto"/>
              </w:divBdr>
            </w:div>
            <w:div w:id="361905498">
              <w:marLeft w:val="0"/>
              <w:marRight w:val="0"/>
              <w:marTop w:val="0"/>
              <w:marBottom w:val="0"/>
              <w:divBdr>
                <w:top w:val="none" w:sz="0" w:space="0" w:color="auto"/>
                <w:left w:val="none" w:sz="0" w:space="0" w:color="auto"/>
                <w:bottom w:val="none" w:sz="0" w:space="0" w:color="auto"/>
                <w:right w:val="none" w:sz="0" w:space="0" w:color="auto"/>
              </w:divBdr>
            </w:div>
            <w:div w:id="1237008729">
              <w:marLeft w:val="0"/>
              <w:marRight w:val="0"/>
              <w:marTop w:val="0"/>
              <w:marBottom w:val="0"/>
              <w:divBdr>
                <w:top w:val="none" w:sz="0" w:space="0" w:color="auto"/>
                <w:left w:val="none" w:sz="0" w:space="0" w:color="auto"/>
                <w:bottom w:val="none" w:sz="0" w:space="0" w:color="auto"/>
                <w:right w:val="none" w:sz="0" w:space="0" w:color="auto"/>
              </w:divBdr>
            </w:div>
            <w:div w:id="59525581">
              <w:marLeft w:val="0"/>
              <w:marRight w:val="0"/>
              <w:marTop w:val="0"/>
              <w:marBottom w:val="0"/>
              <w:divBdr>
                <w:top w:val="none" w:sz="0" w:space="0" w:color="auto"/>
                <w:left w:val="none" w:sz="0" w:space="0" w:color="auto"/>
                <w:bottom w:val="none" w:sz="0" w:space="0" w:color="auto"/>
                <w:right w:val="none" w:sz="0" w:space="0" w:color="auto"/>
              </w:divBdr>
            </w:div>
            <w:div w:id="1548908148">
              <w:marLeft w:val="0"/>
              <w:marRight w:val="0"/>
              <w:marTop w:val="0"/>
              <w:marBottom w:val="0"/>
              <w:divBdr>
                <w:top w:val="none" w:sz="0" w:space="0" w:color="auto"/>
                <w:left w:val="none" w:sz="0" w:space="0" w:color="auto"/>
                <w:bottom w:val="none" w:sz="0" w:space="0" w:color="auto"/>
                <w:right w:val="none" w:sz="0" w:space="0" w:color="auto"/>
              </w:divBdr>
            </w:div>
            <w:div w:id="20950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7623600">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79616695">
      <w:bodyDiv w:val="1"/>
      <w:marLeft w:val="0"/>
      <w:marRight w:val="0"/>
      <w:marTop w:val="0"/>
      <w:marBottom w:val="0"/>
      <w:divBdr>
        <w:top w:val="none" w:sz="0" w:space="0" w:color="auto"/>
        <w:left w:val="none" w:sz="0" w:space="0" w:color="auto"/>
        <w:bottom w:val="none" w:sz="0" w:space="0" w:color="auto"/>
        <w:right w:val="none" w:sz="0" w:space="0" w:color="auto"/>
      </w:divBdr>
      <w:divsChild>
        <w:div w:id="490609525">
          <w:marLeft w:val="480"/>
          <w:marRight w:val="0"/>
          <w:marTop w:val="0"/>
          <w:marBottom w:val="0"/>
          <w:divBdr>
            <w:top w:val="none" w:sz="0" w:space="0" w:color="auto"/>
            <w:left w:val="none" w:sz="0" w:space="0" w:color="auto"/>
            <w:bottom w:val="none" w:sz="0" w:space="0" w:color="auto"/>
            <w:right w:val="none" w:sz="0" w:space="0" w:color="auto"/>
          </w:divBdr>
          <w:divsChild>
            <w:div w:id="1859812167">
              <w:marLeft w:val="0"/>
              <w:marRight w:val="0"/>
              <w:marTop w:val="0"/>
              <w:marBottom w:val="0"/>
              <w:divBdr>
                <w:top w:val="none" w:sz="0" w:space="0" w:color="auto"/>
                <w:left w:val="none" w:sz="0" w:space="0" w:color="auto"/>
                <w:bottom w:val="none" w:sz="0" w:space="0" w:color="auto"/>
                <w:right w:val="none" w:sz="0" w:space="0" w:color="auto"/>
              </w:divBdr>
            </w:div>
            <w:div w:id="1956864475">
              <w:marLeft w:val="0"/>
              <w:marRight w:val="0"/>
              <w:marTop w:val="0"/>
              <w:marBottom w:val="0"/>
              <w:divBdr>
                <w:top w:val="none" w:sz="0" w:space="0" w:color="auto"/>
                <w:left w:val="none" w:sz="0" w:space="0" w:color="auto"/>
                <w:bottom w:val="none" w:sz="0" w:space="0" w:color="auto"/>
                <w:right w:val="none" w:sz="0" w:space="0" w:color="auto"/>
              </w:divBdr>
            </w:div>
            <w:div w:id="663508248">
              <w:marLeft w:val="0"/>
              <w:marRight w:val="0"/>
              <w:marTop w:val="0"/>
              <w:marBottom w:val="0"/>
              <w:divBdr>
                <w:top w:val="none" w:sz="0" w:space="0" w:color="auto"/>
                <w:left w:val="none" w:sz="0" w:space="0" w:color="auto"/>
                <w:bottom w:val="none" w:sz="0" w:space="0" w:color="auto"/>
                <w:right w:val="none" w:sz="0" w:space="0" w:color="auto"/>
              </w:divBdr>
            </w:div>
            <w:div w:id="528837256">
              <w:marLeft w:val="0"/>
              <w:marRight w:val="0"/>
              <w:marTop w:val="0"/>
              <w:marBottom w:val="0"/>
              <w:divBdr>
                <w:top w:val="none" w:sz="0" w:space="0" w:color="auto"/>
                <w:left w:val="none" w:sz="0" w:space="0" w:color="auto"/>
                <w:bottom w:val="none" w:sz="0" w:space="0" w:color="auto"/>
                <w:right w:val="none" w:sz="0" w:space="0" w:color="auto"/>
              </w:divBdr>
            </w:div>
            <w:div w:id="177890895">
              <w:marLeft w:val="0"/>
              <w:marRight w:val="0"/>
              <w:marTop w:val="0"/>
              <w:marBottom w:val="0"/>
              <w:divBdr>
                <w:top w:val="none" w:sz="0" w:space="0" w:color="auto"/>
                <w:left w:val="none" w:sz="0" w:space="0" w:color="auto"/>
                <w:bottom w:val="none" w:sz="0" w:space="0" w:color="auto"/>
                <w:right w:val="none" w:sz="0" w:space="0" w:color="auto"/>
              </w:divBdr>
            </w:div>
            <w:div w:id="178931891">
              <w:marLeft w:val="0"/>
              <w:marRight w:val="0"/>
              <w:marTop w:val="0"/>
              <w:marBottom w:val="0"/>
              <w:divBdr>
                <w:top w:val="none" w:sz="0" w:space="0" w:color="auto"/>
                <w:left w:val="none" w:sz="0" w:space="0" w:color="auto"/>
                <w:bottom w:val="none" w:sz="0" w:space="0" w:color="auto"/>
                <w:right w:val="none" w:sz="0" w:space="0" w:color="auto"/>
              </w:divBdr>
            </w:div>
            <w:div w:id="291255212">
              <w:marLeft w:val="0"/>
              <w:marRight w:val="0"/>
              <w:marTop w:val="0"/>
              <w:marBottom w:val="0"/>
              <w:divBdr>
                <w:top w:val="none" w:sz="0" w:space="0" w:color="auto"/>
                <w:left w:val="none" w:sz="0" w:space="0" w:color="auto"/>
                <w:bottom w:val="none" w:sz="0" w:space="0" w:color="auto"/>
                <w:right w:val="none" w:sz="0" w:space="0" w:color="auto"/>
              </w:divBdr>
            </w:div>
            <w:div w:id="1963883403">
              <w:marLeft w:val="0"/>
              <w:marRight w:val="0"/>
              <w:marTop w:val="0"/>
              <w:marBottom w:val="0"/>
              <w:divBdr>
                <w:top w:val="none" w:sz="0" w:space="0" w:color="auto"/>
                <w:left w:val="none" w:sz="0" w:space="0" w:color="auto"/>
                <w:bottom w:val="none" w:sz="0" w:space="0" w:color="auto"/>
                <w:right w:val="none" w:sz="0" w:space="0" w:color="auto"/>
              </w:divBdr>
            </w:div>
            <w:div w:id="9180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57622048">
      <w:bodyDiv w:val="1"/>
      <w:marLeft w:val="0"/>
      <w:marRight w:val="0"/>
      <w:marTop w:val="0"/>
      <w:marBottom w:val="0"/>
      <w:divBdr>
        <w:top w:val="none" w:sz="0" w:space="0" w:color="auto"/>
        <w:left w:val="none" w:sz="0" w:space="0" w:color="auto"/>
        <w:bottom w:val="none" w:sz="0" w:space="0" w:color="auto"/>
        <w:right w:val="none" w:sz="0" w:space="0" w:color="auto"/>
      </w:divBdr>
    </w:div>
    <w:div w:id="156927062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41431278">
      <w:bodyDiv w:val="1"/>
      <w:marLeft w:val="0"/>
      <w:marRight w:val="0"/>
      <w:marTop w:val="0"/>
      <w:marBottom w:val="0"/>
      <w:divBdr>
        <w:top w:val="none" w:sz="0" w:space="0" w:color="auto"/>
        <w:left w:val="none" w:sz="0" w:space="0" w:color="auto"/>
        <w:bottom w:val="none" w:sz="0" w:space="0" w:color="auto"/>
        <w:right w:val="none" w:sz="0" w:space="0" w:color="auto"/>
      </w:divBdr>
      <w:divsChild>
        <w:div w:id="1296715047">
          <w:marLeft w:val="480"/>
          <w:marRight w:val="0"/>
          <w:marTop w:val="0"/>
          <w:marBottom w:val="0"/>
          <w:divBdr>
            <w:top w:val="none" w:sz="0" w:space="0" w:color="auto"/>
            <w:left w:val="none" w:sz="0" w:space="0" w:color="auto"/>
            <w:bottom w:val="none" w:sz="0" w:space="0" w:color="auto"/>
            <w:right w:val="none" w:sz="0" w:space="0" w:color="auto"/>
          </w:divBdr>
          <w:divsChild>
            <w:div w:id="1265528033">
              <w:marLeft w:val="0"/>
              <w:marRight w:val="0"/>
              <w:marTop w:val="0"/>
              <w:marBottom w:val="240"/>
              <w:divBdr>
                <w:top w:val="none" w:sz="0" w:space="0" w:color="auto"/>
                <w:left w:val="none" w:sz="0" w:space="0" w:color="auto"/>
                <w:bottom w:val="none" w:sz="0" w:space="0" w:color="auto"/>
                <w:right w:val="none" w:sz="0" w:space="0" w:color="auto"/>
              </w:divBdr>
            </w:div>
            <w:div w:id="583295529">
              <w:marLeft w:val="0"/>
              <w:marRight w:val="0"/>
              <w:marTop w:val="0"/>
              <w:marBottom w:val="240"/>
              <w:divBdr>
                <w:top w:val="none" w:sz="0" w:space="0" w:color="auto"/>
                <w:left w:val="none" w:sz="0" w:space="0" w:color="auto"/>
                <w:bottom w:val="none" w:sz="0" w:space="0" w:color="auto"/>
                <w:right w:val="none" w:sz="0" w:space="0" w:color="auto"/>
              </w:divBdr>
            </w:div>
            <w:div w:id="1507328336">
              <w:marLeft w:val="0"/>
              <w:marRight w:val="0"/>
              <w:marTop w:val="0"/>
              <w:marBottom w:val="240"/>
              <w:divBdr>
                <w:top w:val="none" w:sz="0" w:space="0" w:color="auto"/>
                <w:left w:val="none" w:sz="0" w:space="0" w:color="auto"/>
                <w:bottom w:val="none" w:sz="0" w:space="0" w:color="auto"/>
                <w:right w:val="none" w:sz="0" w:space="0" w:color="auto"/>
              </w:divBdr>
            </w:div>
            <w:div w:id="1371803882">
              <w:marLeft w:val="0"/>
              <w:marRight w:val="0"/>
              <w:marTop w:val="0"/>
              <w:marBottom w:val="240"/>
              <w:divBdr>
                <w:top w:val="none" w:sz="0" w:space="0" w:color="auto"/>
                <w:left w:val="none" w:sz="0" w:space="0" w:color="auto"/>
                <w:bottom w:val="none" w:sz="0" w:space="0" w:color="auto"/>
                <w:right w:val="none" w:sz="0" w:space="0" w:color="auto"/>
              </w:divBdr>
            </w:div>
            <w:div w:id="2013801695">
              <w:marLeft w:val="0"/>
              <w:marRight w:val="0"/>
              <w:marTop w:val="0"/>
              <w:marBottom w:val="240"/>
              <w:divBdr>
                <w:top w:val="none" w:sz="0" w:space="0" w:color="auto"/>
                <w:left w:val="none" w:sz="0" w:space="0" w:color="auto"/>
                <w:bottom w:val="none" w:sz="0" w:space="0" w:color="auto"/>
                <w:right w:val="none" w:sz="0" w:space="0" w:color="auto"/>
              </w:divBdr>
            </w:div>
            <w:div w:id="146286567">
              <w:marLeft w:val="0"/>
              <w:marRight w:val="0"/>
              <w:marTop w:val="0"/>
              <w:marBottom w:val="240"/>
              <w:divBdr>
                <w:top w:val="none" w:sz="0" w:space="0" w:color="auto"/>
                <w:left w:val="none" w:sz="0" w:space="0" w:color="auto"/>
                <w:bottom w:val="none" w:sz="0" w:space="0" w:color="auto"/>
                <w:right w:val="none" w:sz="0" w:space="0" w:color="auto"/>
              </w:divBdr>
            </w:div>
            <w:div w:id="1488396871">
              <w:marLeft w:val="0"/>
              <w:marRight w:val="0"/>
              <w:marTop w:val="0"/>
              <w:marBottom w:val="240"/>
              <w:divBdr>
                <w:top w:val="none" w:sz="0" w:space="0" w:color="auto"/>
                <w:left w:val="none" w:sz="0" w:space="0" w:color="auto"/>
                <w:bottom w:val="none" w:sz="0" w:space="0" w:color="auto"/>
                <w:right w:val="none" w:sz="0" w:space="0" w:color="auto"/>
              </w:divBdr>
            </w:div>
            <w:div w:id="256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541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99577074">
      <w:bodyDiv w:val="1"/>
      <w:marLeft w:val="0"/>
      <w:marRight w:val="0"/>
      <w:marTop w:val="0"/>
      <w:marBottom w:val="0"/>
      <w:divBdr>
        <w:top w:val="none" w:sz="0" w:space="0" w:color="auto"/>
        <w:left w:val="none" w:sz="0" w:space="0" w:color="auto"/>
        <w:bottom w:val="none" w:sz="0" w:space="0" w:color="auto"/>
        <w:right w:val="none" w:sz="0" w:space="0" w:color="auto"/>
      </w:divBdr>
      <w:divsChild>
        <w:div w:id="791747412">
          <w:marLeft w:val="480"/>
          <w:marRight w:val="0"/>
          <w:marTop w:val="0"/>
          <w:marBottom w:val="0"/>
          <w:divBdr>
            <w:top w:val="none" w:sz="0" w:space="0" w:color="auto"/>
            <w:left w:val="none" w:sz="0" w:space="0" w:color="auto"/>
            <w:bottom w:val="none" w:sz="0" w:space="0" w:color="auto"/>
            <w:right w:val="none" w:sz="0" w:space="0" w:color="auto"/>
          </w:divBdr>
          <w:divsChild>
            <w:div w:id="403918263">
              <w:marLeft w:val="0"/>
              <w:marRight w:val="0"/>
              <w:marTop w:val="0"/>
              <w:marBottom w:val="0"/>
              <w:divBdr>
                <w:top w:val="none" w:sz="0" w:space="0" w:color="auto"/>
                <w:left w:val="none" w:sz="0" w:space="0" w:color="auto"/>
                <w:bottom w:val="none" w:sz="0" w:space="0" w:color="auto"/>
                <w:right w:val="none" w:sz="0" w:space="0" w:color="auto"/>
              </w:divBdr>
            </w:div>
            <w:div w:id="162013740">
              <w:marLeft w:val="0"/>
              <w:marRight w:val="0"/>
              <w:marTop w:val="0"/>
              <w:marBottom w:val="0"/>
              <w:divBdr>
                <w:top w:val="none" w:sz="0" w:space="0" w:color="auto"/>
                <w:left w:val="none" w:sz="0" w:space="0" w:color="auto"/>
                <w:bottom w:val="none" w:sz="0" w:space="0" w:color="auto"/>
                <w:right w:val="none" w:sz="0" w:space="0" w:color="auto"/>
              </w:divBdr>
            </w:div>
            <w:div w:id="211581093">
              <w:marLeft w:val="0"/>
              <w:marRight w:val="0"/>
              <w:marTop w:val="0"/>
              <w:marBottom w:val="0"/>
              <w:divBdr>
                <w:top w:val="none" w:sz="0" w:space="0" w:color="auto"/>
                <w:left w:val="none" w:sz="0" w:space="0" w:color="auto"/>
                <w:bottom w:val="none" w:sz="0" w:space="0" w:color="auto"/>
                <w:right w:val="none" w:sz="0" w:space="0" w:color="auto"/>
              </w:divBdr>
            </w:div>
            <w:div w:id="1999185108">
              <w:marLeft w:val="0"/>
              <w:marRight w:val="0"/>
              <w:marTop w:val="0"/>
              <w:marBottom w:val="0"/>
              <w:divBdr>
                <w:top w:val="none" w:sz="0" w:space="0" w:color="auto"/>
                <w:left w:val="none" w:sz="0" w:space="0" w:color="auto"/>
                <w:bottom w:val="none" w:sz="0" w:space="0" w:color="auto"/>
                <w:right w:val="none" w:sz="0" w:space="0" w:color="auto"/>
              </w:divBdr>
            </w:div>
            <w:div w:id="1762527380">
              <w:marLeft w:val="0"/>
              <w:marRight w:val="0"/>
              <w:marTop w:val="0"/>
              <w:marBottom w:val="0"/>
              <w:divBdr>
                <w:top w:val="none" w:sz="0" w:space="0" w:color="auto"/>
                <w:left w:val="none" w:sz="0" w:space="0" w:color="auto"/>
                <w:bottom w:val="none" w:sz="0" w:space="0" w:color="auto"/>
                <w:right w:val="none" w:sz="0" w:space="0" w:color="auto"/>
              </w:divBdr>
            </w:div>
            <w:div w:id="696201866">
              <w:marLeft w:val="0"/>
              <w:marRight w:val="0"/>
              <w:marTop w:val="0"/>
              <w:marBottom w:val="0"/>
              <w:divBdr>
                <w:top w:val="none" w:sz="0" w:space="0" w:color="auto"/>
                <w:left w:val="none" w:sz="0" w:space="0" w:color="auto"/>
                <w:bottom w:val="none" w:sz="0" w:space="0" w:color="auto"/>
                <w:right w:val="none" w:sz="0" w:space="0" w:color="auto"/>
              </w:divBdr>
            </w:div>
            <w:div w:id="1753963766">
              <w:marLeft w:val="0"/>
              <w:marRight w:val="0"/>
              <w:marTop w:val="0"/>
              <w:marBottom w:val="0"/>
              <w:divBdr>
                <w:top w:val="none" w:sz="0" w:space="0" w:color="auto"/>
                <w:left w:val="none" w:sz="0" w:space="0" w:color="auto"/>
                <w:bottom w:val="none" w:sz="0" w:space="0" w:color="auto"/>
                <w:right w:val="none" w:sz="0" w:space="0" w:color="auto"/>
              </w:divBdr>
            </w:div>
            <w:div w:id="1550070767">
              <w:marLeft w:val="0"/>
              <w:marRight w:val="0"/>
              <w:marTop w:val="0"/>
              <w:marBottom w:val="0"/>
              <w:divBdr>
                <w:top w:val="none" w:sz="0" w:space="0" w:color="auto"/>
                <w:left w:val="none" w:sz="0" w:space="0" w:color="auto"/>
                <w:bottom w:val="none" w:sz="0" w:space="0" w:color="auto"/>
                <w:right w:val="none" w:sz="0" w:space="0" w:color="auto"/>
              </w:divBdr>
            </w:div>
            <w:div w:id="42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6999528">
      <w:bodyDiv w:val="1"/>
      <w:marLeft w:val="0"/>
      <w:marRight w:val="0"/>
      <w:marTop w:val="0"/>
      <w:marBottom w:val="0"/>
      <w:divBdr>
        <w:top w:val="none" w:sz="0" w:space="0" w:color="auto"/>
        <w:left w:val="none" w:sz="0" w:space="0" w:color="auto"/>
        <w:bottom w:val="none" w:sz="0" w:space="0" w:color="auto"/>
        <w:right w:val="none" w:sz="0" w:space="0" w:color="auto"/>
      </w:divBdr>
    </w:div>
    <w:div w:id="2115781531">
      <w:bodyDiv w:val="1"/>
      <w:marLeft w:val="0"/>
      <w:marRight w:val="0"/>
      <w:marTop w:val="0"/>
      <w:marBottom w:val="0"/>
      <w:divBdr>
        <w:top w:val="none" w:sz="0" w:space="0" w:color="auto"/>
        <w:left w:val="none" w:sz="0" w:space="0" w:color="auto"/>
        <w:bottom w:val="none" w:sz="0" w:space="0" w:color="auto"/>
        <w:right w:val="none" w:sz="0" w:space="0" w:color="auto"/>
      </w:divBdr>
      <w:divsChild>
        <w:div w:id="2040274752">
          <w:marLeft w:val="480"/>
          <w:marRight w:val="0"/>
          <w:marTop w:val="0"/>
          <w:marBottom w:val="0"/>
          <w:divBdr>
            <w:top w:val="none" w:sz="0" w:space="0" w:color="auto"/>
            <w:left w:val="none" w:sz="0" w:space="0" w:color="auto"/>
            <w:bottom w:val="none" w:sz="0" w:space="0" w:color="auto"/>
            <w:right w:val="none" w:sz="0" w:space="0" w:color="auto"/>
          </w:divBdr>
          <w:divsChild>
            <w:div w:id="1640497960">
              <w:marLeft w:val="0"/>
              <w:marRight w:val="0"/>
              <w:marTop w:val="0"/>
              <w:marBottom w:val="0"/>
              <w:divBdr>
                <w:top w:val="none" w:sz="0" w:space="0" w:color="auto"/>
                <w:left w:val="none" w:sz="0" w:space="0" w:color="auto"/>
                <w:bottom w:val="none" w:sz="0" w:space="0" w:color="auto"/>
                <w:right w:val="none" w:sz="0" w:space="0" w:color="auto"/>
              </w:divBdr>
            </w:div>
            <w:div w:id="507062008">
              <w:marLeft w:val="0"/>
              <w:marRight w:val="0"/>
              <w:marTop w:val="0"/>
              <w:marBottom w:val="0"/>
              <w:divBdr>
                <w:top w:val="none" w:sz="0" w:space="0" w:color="auto"/>
                <w:left w:val="none" w:sz="0" w:space="0" w:color="auto"/>
                <w:bottom w:val="none" w:sz="0" w:space="0" w:color="auto"/>
                <w:right w:val="none" w:sz="0" w:space="0" w:color="auto"/>
              </w:divBdr>
            </w:div>
            <w:div w:id="122769717">
              <w:marLeft w:val="0"/>
              <w:marRight w:val="0"/>
              <w:marTop w:val="0"/>
              <w:marBottom w:val="0"/>
              <w:divBdr>
                <w:top w:val="none" w:sz="0" w:space="0" w:color="auto"/>
                <w:left w:val="none" w:sz="0" w:space="0" w:color="auto"/>
                <w:bottom w:val="none" w:sz="0" w:space="0" w:color="auto"/>
                <w:right w:val="none" w:sz="0" w:space="0" w:color="auto"/>
              </w:divBdr>
            </w:div>
            <w:div w:id="2085838449">
              <w:marLeft w:val="0"/>
              <w:marRight w:val="0"/>
              <w:marTop w:val="0"/>
              <w:marBottom w:val="0"/>
              <w:divBdr>
                <w:top w:val="none" w:sz="0" w:space="0" w:color="auto"/>
                <w:left w:val="none" w:sz="0" w:space="0" w:color="auto"/>
                <w:bottom w:val="none" w:sz="0" w:space="0" w:color="auto"/>
                <w:right w:val="none" w:sz="0" w:space="0" w:color="auto"/>
              </w:divBdr>
            </w:div>
            <w:div w:id="1105224889">
              <w:marLeft w:val="0"/>
              <w:marRight w:val="0"/>
              <w:marTop w:val="0"/>
              <w:marBottom w:val="0"/>
              <w:divBdr>
                <w:top w:val="none" w:sz="0" w:space="0" w:color="auto"/>
                <w:left w:val="none" w:sz="0" w:space="0" w:color="auto"/>
                <w:bottom w:val="none" w:sz="0" w:space="0" w:color="auto"/>
                <w:right w:val="none" w:sz="0" w:space="0" w:color="auto"/>
              </w:divBdr>
            </w:div>
            <w:div w:id="743646688">
              <w:marLeft w:val="0"/>
              <w:marRight w:val="0"/>
              <w:marTop w:val="0"/>
              <w:marBottom w:val="0"/>
              <w:divBdr>
                <w:top w:val="none" w:sz="0" w:space="0" w:color="auto"/>
                <w:left w:val="none" w:sz="0" w:space="0" w:color="auto"/>
                <w:bottom w:val="none" w:sz="0" w:space="0" w:color="auto"/>
                <w:right w:val="none" w:sz="0" w:space="0" w:color="auto"/>
              </w:divBdr>
            </w:div>
            <w:div w:id="636379218">
              <w:marLeft w:val="0"/>
              <w:marRight w:val="0"/>
              <w:marTop w:val="0"/>
              <w:marBottom w:val="0"/>
              <w:divBdr>
                <w:top w:val="none" w:sz="0" w:space="0" w:color="auto"/>
                <w:left w:val="none" w:sz="0" w:space="0" w:color="auto"/>
                <w:bottom w:val="none" w:sz="0" w:space="0" w:color="auto"/>
                <w:right w:val="none" w:sz="0" w:space="0" w:color="auto"/>
              </w:divBdr>
            </w:div>
            <w:div w:id="1631129144">
              <w:marLeft w:val="0"/>
              <w:marRight w:val="0"/>
              <w:marTop w:val="0"/>
              <w:marBottom w:val="0"/>
              <w:divBdr>
                <w:top w:val="none" w:sz="0" w:space="0" w:color="auto"/>
                <w:left w:val="none" w:sz="0" w:space="0" w:color="auto"/>
                <w:bottom w:val="none" w:sz="0" w:space="0" w:color="auto"/>
                <w:right w:val="none" w:sz="0" w:space="0" w:color="auto"/>
              </w:divBdr>
            </w:div>
            <w:div w:id="2466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0633">
      <w:bodyDiv w:val="1"/>
      <w:marLeft w:val="0"/>
      <w:marRight w:val="0"/>
      <w:marTop w:val="0"/>
      <w:marBottom w:val="0"/>
      <w:divBdr>
        <w:top w:val="none" w:sz="0" w:space="0" w:color="auto"/>
        <w:left w:val="none" w:sz="0" w:space="0" w:color="auto"/>
        <w:bottom w:val="none" w:sz="0" w:space="0" w:color="auto"/>
        <w:right w:val="none" w:sz="0" w:space="0" w:color="auto"/>
      </w:divBdr>
      <w:divsChild>
        <w:div w:id="714431304">
          <w:marLeft w:val="480"/>
          <w:marRight w:val="0"/>
          <w:marTop w:val="0"/>
          <w:marBottom w:val="0"/>
          <w:divBdr>
            <w:top w:val="none" w:sz="0" w:space="0" w:color="auto"/>
            <w:left w:val="none" w:sz="0" w:space="0" w:color="auto"/>
            <w:bottom w:val="none" w:sz="0" w:space="0" w:color="auto"/>
            <w:right w:val="none" w:sz="0" w:space="0" w:color="auto"/>
          </w:divBdr>
          <w:divsChild>
            <w:div w:id="21301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physa.2015.01.020" TargetMode="External"/><Relationship Id="rId18" Type="http://schemas.openxmlformats.org/officeDocument/2006/relationships/hyperlink" Target="https://doi.org/10.1088/1469-7688/1/2/305"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oi.org/10.1016/j.jbankfin.2008.10.015" TargetMode="External"/><Relationship Id="rId17" Type="http://schemas.openxmlformats.org/officeDocument/2006/relationships/hyperlink" Target="https://doi.org/10.2307/19127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0304-4076(92)90073-Z" TargetMode="External"/><Relationship Id="rId20" Type="http://schemas.openxmlformats.org/officeDocument/2006/relationships/hyperlink" Target="https://doi.org/10.1016/S0378-4266(02)003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fut.2197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93/rfs/5.3.659"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oi.org/10.1002/fut.220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0304-4076(86)90063-1" TargetMode="Externa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ra/Library/Containers/com.microsoft.Word/Data/Library/Application%20Support/Microsoft/Office/16.0/DTS/en-US%7bFD63C305-E3C4-3846-A8A0-97B9B852E99C%7d/%7bF23198AB-7A8B-DE4E-BF13-8E992241C182%7dtf1000209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B1C9941-3264-9740-8865-85B37753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{F23198AB-7A8B-DE4E-BF13-8E992241C182}tf10002091.dotx</Template>
  <TotalTime>436</TotalTime>
  <Pages>26</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子耘陆</dc:creator>
  <cp:keywords/>
  <dc:description/>
  <cp:lastModifiedBy>子耘陆</cp:lastModifiedBy>
  <cp:revision>194</cp:revision>
  <dcterms:created xsi:type="dcterms:W3CDTF">2020-05-04T01:00:00Z</dcterms:created>
  <dcterms:modified xsi:type="dcterms:W3CDTF">2020-05-08T11:54:00Z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