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A1107" w14:textId="77777777" w:rsidR="00340A38" w:rsidRDefault="00340A38">
      <w:pPr>
        <w:widowControl w:val="0"/>
        <w:spacing w:before="100" w:after="100"/>
        <w:rPr>
          <w:sz w:val="48"/>
          <w:szCs w:val="48"/>
          <w:highlight w:val="white"/>
        </w:rPr>
      </w:pPr>
    </w:p>
    <w:p w14:paraId="43FC25AA" w14:textId="77777777" w:rsidR="00340A38" w:rsidRDefault="00000000">
      <w:pPr>
        <w:widowControl w:val="0"/>
        <w:spacing w:before="100" w:after="100"/>
        <w:jc w:val="center"/>
        <w:rPr>
          <w:sz w:val="4"/>
          <w:szCs w:val="4"/>
        </w:rPr>
      </w:pPr>
      <w:r>
        <w:rPr>
          <w:sz w:val="48"/>
          <w:szCs w:val="48"/>
          <w:highlight w:val="white"/>
        </w:rPr>
        <w:t>Comparative analysis of the influence of different levels of corporate governance on capital structure</w:t>
      </w:r>
    </w:p>
    <w:p w14:paraId="3B3DC8B8" w14:textId="77777777" w:rsidR="00340A38" w:rsidRDefault="00000000">
      <w:pPr>
        <w:widowControl w:val="0"/>
        <w:rPr>
          <w:sz w:val="28"/>
          <w:szCs w:val="28"/>
          <w:highlight w:val="white"/>
        </w:rPr>
      </w:pPr>
      <w:r>
        <w:rPr>
          <w:sz w:val="28"/>
          <w:szCs w:val="28"/>
          <w:highlight w:val="white"/>
        </w:rPr>
        <w:t xml:space="preserve"> </w:t>
      </w:r>
    </w:p>
    <w:p w14:paraId="4C4A0C24" w14:textId="77777777" w:rsidR="00340A38" w:rsidRDefault="00000000">
      <w:pPr>
        <w:widowControl w:val="0"/>
        <w:spacing w:before="100" w:after="100"/>
        <w:jc w:val="center"/>
        <w:rPr>
          <w:sz w:val="28"/>
          <w:szCs w:val="28"/>
          <w:highlight w:val="white"/>
        </w:rPr>
      </w:pPr>
      <w:r>
        <w:rPr>
          <w:sz w:val="28"/>
          <w:szCs w:val="28"/>
          <w:highlight w:val="white"/>
        </w:rPr>
        <w:t>by</w:t>
      </w:r>
    </w:p>
    <w:p w14:paraId="4FC09DFD" w14:textId="77777777" w:rsidR="00340A38" w:rsidRDefault="00000000">
      <w:pPr>
        <w:widowControl w:val="0"/>
        <w:spacing w:before="100" w:after="100"/>
        <w:jc w:val="center"/>
        <w:rPr>
          <w:sz w:val="32"/>
          <w:szCs w:val="32"/>
        </w:rPr>
      </w:pPr>
      <w:r>
        <w:rPr>
          <w:sz w:val="32"/>
          <w:szCs w:val="32"/>
        </w:rPr>
        <w:t>Xinyuan Zheng</w:t>
      </w:r>
    </w:p>
    <w:p w14:paraId="2B79D5BE" w14:textId="77777777" w:rsidR="00340A38" w:rsidRDefault="00000000">
      <w:pPr>
        <w:widowControl w:val="0"/>
        <w:spacing w:before="100" w:after="100"/>
        <w:jc w:val="center"/>
        <w:rPr>
          <w:sz w:val="32"/>
          <w:szCs w:val="32"/>
        </w:rPr>
      </w:pPr>
      <w:r>
        <w:rPr>
          <w:sz w:val="32"/>
          <w:szCs w:val="32"/>
        </w:rPr>
        <w:t xml:space="preserve"> </w:t>
      </w:r>
    </w:p>
    <w:p w14:paraId="7C09A3E6" w14:textId="77777777" w:rsidR="00340A38" w:rsidRDefault="00000000">
      <w:pPr>
        <w:widowControl w:val="0"/>
        <w:spacing w:before="100" w:after="100"/>
        <w:jc w:val="center"/>
        <w:rPr>
          <w:sz w:val="26"/>
          <w:szCs w:val="26"/>
        </w:rPr>
      </w:pPr>
      <w:r>
        <w:rPr>
          <w:sz w:val="26"/>
          <w:szCs w:val="26"/>
        </w:rPr>
        <w:t xml:space="preserve">An honors thesis submitted in partial </w:t>
      </w:r>
      <w:proofErr w:type="gramStart"/>
      <w:r>
        <w:rPr>
          <w:sz w:val="26"/>
          <w:szCs w:val="26"/>
        </w:rPr>
        <w:t>fulfillment</w:t>
      </w:r>
      <w:proofErr w:type="gramEnd"/>
    </w:p>
    <w:p w14:paraId="18E1B282" w14:textId="77777777" w:rsidR="00340A38" w:rsidRDefault="00000000">
      <w:pPr>
        <w:widowControl w:val="0"/>
        <w:spacing w:before="100" w:after="100"/>
        <w:jc w:val="center"/>
        <w:rPr>
          <w:sz w:val="26"/>
          <w:szCs w:val="26"/>
        </w:rPr>
      </w:pPr>
      <w:r>
        <w:rPr>
          <w:sz w:val="26"/>
          <w:szCs w:val="26"/>
        </w:rPr>
        <w:t>of the requirements for the degree of</w:t>
      </w:r>
    </w:p>
    <w:p w14:paraId="2589D3C2" w14:textId="77777777" w:rsidR="00340A38" w:rsidRDefault="00000000">
      <w:pPr>
        <w:widowControl w:val="0"/>
        <w:spacing w:before="100" w:after="100"/>
        <w:jc w:val="center"/>
        <w:rPr>
          <w:sz w:val="26"/>
          <w:szCs w:val="26"/>
        </w:rPr>
      </w:pPr>
      <w:r>
        <w:rPr>
          <w:sz w:val="26"/>
          <w:szCs w:val="26"/>
        </w:rPr>
        <w:t>Bachelor of Science</w:t>
      </w:r>
    </w:p>
    <w:p w14:paraId="338D8B99" w14:textId="77777777" w:rsidR="00340A38" w:rsidRDefault="00000000">
      <w:pPr>
        <w:widowControl w:val="0"/>
        <w:spacing w:before="100" w:after="100"/>
        <w:jc w:val="center"/>
        <w:rPr>
          <w:sz w:val="28"/>
          <w:szCs w:val="28"/>
        </w:rPr>
      </w:pPr>
      <w:r>
        <w:rPr>
          <w:sz w:val="26"/>
          <w:szCs w:val="26"/>
        </w:rPr>
        <w:t>Business and Economics Honors Program</w:t>
      </w:r>
    </w:p>
    <w:p w14:paraId="5831496B" w14:textId="77777777" w:rsidR="00340A38" w:rsidRDefault="00000000">
      <w:pPr>
        <w:widowControl w:val="0"/>
        <w:spacing w:before="100" w:after="100"/>
        <w:jc w:val="center"/>
        <w:rPr>
          <w:sz w:val="26"/>
          <w:szCs w:val="26"/>
        </w:rPr>
      </w:pPr>
      <w:r>
        <w:rPr>
          <w:sz w:val="26"/>
          <w:szCs w:val="26"/>
        </w:rPr>
        <w:t>NYU Shanghai</w:t>
      </w:r>
    </w:p>
    <w:p w14:paraId="75DA69BB" w14:textId="77777777" w:rsidR="00340A38" w:rsidRDefault="00000000">
      <w:pPr>
        <w:widowControl w:val="0"/>
        <w:spacing w:before="100" w:after="100"/>
        <w:jc w:val="center"/>
        <w:rPr>
          <w:sz w:val="26"/>
          <w:szCs w:val="26"/>
        </w:rPr>
      </w:pPr>
      <w:r>
        <w:rPr>
          <w:sz w:val="26"/>
          <w:szCs w:val="26"/>
        </w:rPr>
        <w:t>May 2024</w:t>
      </w:r>
    </w:p>
    <w:p w14:paraId="57171F4C" w14:textId="77777777" w:rsidR="00340A38" w:rsidRDefault="00340A38">
      <w:pPr>
        <w:widowControl w:val="0"/>
        <w:spacing w:before="100" w:after="100"/>
        <w:jc w:val="center"/>
        <w:rPr>
          <w:sz w:val="22"/>
          <w:szCs w:val="22"/>
        </w:rPr>
      </w:pPr>
    </w:p>
    <w:p w14:paraId="2D1883E6" w14:textId="77777777" w:rsidR="00340A38" w:rsidRDefault="00000000">
      <w:pPr>
        <w:widowControl w:val="0"/>
        <w:spacing w:before="100" w:after="100"/>
        <w:jc w:val="both"/>
        <w:rPr>
          <w:sz w:val="28"/>
          <w:szCs w:val="28"/>
        </w:rPr>
      </w:pPr>
      <w:r>
        <w:rPr>
          <w:sz w:val="28"/>
          <w:szCs w:val="28"/>
        </w:rPr>
        <w:t xml:space="preserve">Professor Marti G. Subrahmanyam                                     Professor </w:t>
      </w:r>
      <w:proofErr w:type="spellStart"/>
      <w:r>
        <w:rPr>
          <w:sz w:val="28"/>
          <w:szCs w:val="28"/>
        </w:rPr>
        <w:t>Guodong</w:t>
      </w:r>
      <w:proofErr w:type="spellEnd"/>
      <w:r>
        <w:rPr>
          <w:sz w:val="28"/>
          <w:szCs w:val="28"/>
        </w:rPr>
        <w:t xml:space="preserve"> Chen</w:t>
      </w:r>
    </w:p>
    <w:p w14:paraId="2088C781" w14:textId="77777777" w:rsidR="00340A38" w:rsidRDefault="00000000">
      <w:pPr>
        <w:widowControl w:val="0"/>
        <w:spacing w:before="100" w:after="100"/>
        <w:rPr>
          <w:sz w:val="28"/>
          <w:szCs w:val="28"/>
        </w:rPr>
      </w:pPr>
      <w:r>
        <w:rPr>
          <w:sz w:val="28"/>
          <w:szCs w:val="28"/>
        </w:rPr>
        <w:t>Professor Christina Wang</w:t>
      </w:r>
    </w:p>
    <w:p w14:paraId="3A5A5523" w14:textId="77777777" w:rsidR="00340A38" w:rsidRDefault="00000000">
      <w:pPr>
        <w:widowControl w:val="0"/>
        <w:spacing w:before="100" w:after="100"/>
        <w:rPr>
          <w:sz w:val="28"/>
          <w:szCs w:val="28"/>
        </w:rPr>
      </w:pPr>
      <w:r>
        <w:rPr>
          <w:sz w:val="28"/>
          <w:szCs w:val="28"/>
        </w:rPr>
        <w:t xml:space="preserve">Professor Ye </w:t>
      </w:r>
      <w:proofErr w:type="spellStart"/>
      <w:r>
        <w:rPr>
          <w:sz w:val="28"/>
          <w:szCs w:val="28"/>
        </w:rPr>
        <w:t>Jin</w:t>
      </w:r>
      <w:proofErr w:type="spellEnd"/>
      <w:r>
        <w:rPr>
          <w:sz w:val="28"/>
          <w:szCs w:val="28"/>
        </w:rPr>
        <w:t xml:space="preserve">    </w:t>
      </w:r>
    </w:p>
    <w:p w14:paraId="3680FF2D" w14:textId="77777777" w:rsidR="00340A38" w:rsidRDefault="00000000">
      <w:pPr>
        <w:widowControl w:val="0"/>
        <w:spacing w:before="100" w:after="100"/>
        <w:rPr>
          <w:sz w:val="28"/>
          <w:szCs w:val="28"/>
        </w:rPr>
      </w:pPr>
      <w:r>
        <w:rPr>
          <w:sz w:val="28"/>
          <w:szCs w:val="28"/>
        </w:rPr>
        <w:t xml:space="preserve"> </w:t>
      </w:r>
    </w:p>
    <w:p w14:paraId="0DCA2490" w14:textId="77777777" w:rsidR="00340A38" w:rsidRDefault="00000000">
      <w:pPr>
        <w:widowControl w:val="0"/>
        <w:rPr>
          <w:sz w:val="28"/>
          <w:szCs w:val="28"/>
        </w:rPr>
      </w:pPr>
      <w:r>
        <w:rPr>
          <w:sz w:val="28"/>
          <w:szCs w:val="28"/>
        </w:rPr>
        <w:t xml:space="preserve">Faculty Advisors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Thesis Advisor</w:t>
      </w:r>
    </w:p>
    <w:p w14:paraId="1EE9592B" w14:textId="77777777" w:rsidR="00340A38" w:rsidRDefault="00000000">
      <w:pPr>
        <w:pStyle w:val="Heading1"/>
        <w:widowControl w:val="0"/>
        <w:ind w:left="0" w:firstLine="0"/>
      </w:pPr>
      <w:bookmarkStart w:id="0" w:name="_o9vp0duxmrox" w:colFirst="0" w:colLast="0"/>
      <w:bookmarkEnd w:id="0"/>
      <w:r>
        <w:lastRenderedPageBreak/>
        <w:t>Abstract</w:t>
      </w:r>
    </w:p>
    <w:p w14:paraId="790E8A94" w14:textId="77777777" w:rsidR="00340A38" w:rsidRDefault="00000000">
      <w:pPr>
        <w:spacing w:line="480" w:lineRule="auto"/>
        <w:jc w:val="both"/>
      </w:pPr>
      <w:r>
        <w:t xml:space="preserve">Previous literature has respectively explored the specific parties, including CEOs, institutional investors, and boards of directors, and their influences based on different roles. However, none of the studies tried to combine these three parties as three distinct attributes together and compare their influence on the capital structure. Our research aims at discovering which part of the governance party is driving the decision on the capital structure. Therefore, our study compares the influence of CEOs, institutional investors, and the board on capital structure. We also try to figure out the difference in their weights between the SOEs and non-SOEs, and among different industries </w:t>
      </w:r>
      <w:proofErr w:type="gramStart"/>
      <w:r>
        <w:t>so as to</w:t>
      </w:r>
      <w:proofErr w:type="gramEnd"/>
      <w:r>
        <w:t xml:space="preserve"> help the corporates have a better strategy. </w:t>
      </w:r>
    </w:p>
    <w:p w14:paraId="3DE7464D" w14:textId="77777777" w:rsidR="00340A38" w:rsidRDefault="00000000">
      <w:pPr>
        <w:spacing w:line="480" w:lineRule="auto"/>
        <w:jc w:val="both"/>
      </w:pPr>
      <w:r>
        <w:t>To construct a comprehensive index for the power of the three parties, we selected important features based on domain knowledge and applied statistical methods as well, including PCA and FA. Using a sample of 618 Chinese A-listed firms over the period from 2011 to 2022, we find that CEOs and Institutional Investors have a larger impact on capital structure, compared with BODs. Furthermore, the results also show that the influences of CEOs and Institutional Investors on corporate leverage are in contrast and CEOs display a greater power, indicating their conflicts of interest and an agency problem. Regarding the differences among industry groups, some industries with low tangibility and high growth value showed strong firm characteristics that favor equity, such as IT. Moreover, focusing on the comparison between SOEs and non-SOEs, the firm ownership structure makes a difference in the relationship between CEOs, BODs, and Institutional Investors. Specifically, BODs own more power in capital structure in SOEs and the standpoint of Institutional Investors also varies from two different ownership structures. Our findings are robust to diverse estimation methods. The shareholders and policymakers could leverage our findings to pay more attention to different parties during the capital structure decision-making process.</w:t>
      </w:r>
    </w:p>
    <w:p w14:paraId="6C80DF72" w14:textId="77777777" w:rsidR="00340A38" w:rsidRDefault="00000000">
      <w:pPr>
        <w:pStyle w:val="Heading1"/>
        <w:ind w:left="0" w:firstLine="0"/>
      </w:pPr>
      <w:bookmarkStart w:id="1" w:name="_oi4imnhvt2xi" w:colFirst="0" w:colLast="0"/>
      <w:bookmarkEnd w:id="1"/>
      <w:r>
        <w:lastRenderedPageBreak/>
        <w:t>1. Introduction</w:t>
      </w:r>
    </w:p>
    <w:p w14:paraId="270912B3" w14:textId="77777777" w:rsidR="00340A38" w:rsidRDefault="00000000">
      <w:pPr>
        <w:spacing w:line="480" w:lineRule="auto"/>
        <w:jc w:val="both"/>
      </w:pPr>
      <w:r>
        <w:t xml:space="preserve">Capital structure determines the financial foundation of a firm’s operations. Essentially, it involves the ratio of debt to equity used to finance a firm’s operations and growth. Capital structure may affect a firm’s cost of capital, risk management, market perception, and financial flexibility. It is therefore critical to a firm’s financial health and its ability to achieve long-term growth and sustainability. </w:t>
      </w:r>
    </w:p>
    <w:p w14:paraId="221F214A" w14:textId="77777777" w:rsidR="00340A38" w:rsidRDefault="00000000">
      <w:pPr>
        <w:spacing w:line="480" w:lineRule="auto"/>
        <w:jc w:val="both"/>
      </w:pPr>
      <w:r>
        <w:t>Prior literature has thoroughly examined the relationship between a firm’s capital structure and various attributes at the industry and firm levels. However, firms with similar underlying characteristics often employ different leverage strategies (</w:t>
      </w:r>
      <w:proofErr w:type="spellStart"/>
      <w:r>
        <w:t>Cronqvist</w:t>
      </w:r>
      <w:proofErr w:type="spellEnd"/>
      <w:r>
        <w:t xml:space="preserve">, </w:t>
      </w:r>
      <w:proofErr w:type="spellStart"/>
      <w:r>
        <w:t>Makhija</w:t>
      </w:r>
      <w:proofErr w:type="spellEnd"/>
      <w:r>
        <w:t xml:space="preserve">, and </w:t>
      </w:r>
      <w:proofErr w:type="spellStart"/>
      <w:r>
        <w:t>Yonker</w:t>
      </w:r>
      <w:proofErr w:type="spellEnd"/>
      <w:r>
        <w:t>, 2012). This variation has prompted recent research on individual attributes at the corporate governance level, including the influence of executives on financial decisions (</w:t>
      </w:r>
      <w:proofErr w:type="spellStart"/>
      <w:r>
        <w:t>Cronqvist</w:t>
      </w:r>
      <w:proofErr w:type="spellEnd"/>
      <w:r>
        <w:t xml:space="preserve"> et al., 2012), how directors and boards advise firms (Kim et al., 2014), and the external influence of institutional investors (</w:t>
      </w:r>
      <w:proofErr w:type="spellStart"/>
      <w:r>
        <w:t>McCahery</w:t>
      </w:r>
      <w:proofErr w:type="spellEnd"/>
      <w:r>
        <w:t xml:space="preserve"> et al., 2014). However, few studies have focused on comparisons among these three governance parties. The basic theory of capital structure was proposed by Modigliani and Miller in 1958, who argued that in an ideal capital market, capital structure does not matter. However, later theories have refuted this view, emphasizing the important role of market imperfections and frictions in shaping corporate capital structure decisions. Specifically, the trade-off theory (Miller, 1977) maintains that since debt would bring companies both bankruptcy costs and tax benefits, a company would determine its capital structure by weighing these costs and benefits. The pecking order theory (Myers &amp; </w:t>
      </w:r>
      <w:proofErr w:type="spellStart"/>
      <w:r>
        <w:t>Majluf</w:t>
      </w:r>
      <w:proofErr w:type="spellEnd"/>
      <w:r>
        <w:t xml:space="preserve">, 1984) focuses more on the cost of financing, namely asymmetric information that the issuance of debt signifies the confidence of the board, and thus suggests that managers and the board would prefer debt over equity to obtain the positive signaling effect. The following theories also include the market timing hypothesis theory (Baker </w:t>
      </w:r>
      <w:r>
        <w:lastRenderedPageBreak/>
        <w:t xml:space="preserve">&amp; </w:t>
      </w:r>
      <w:proofErr w:type="spellStart"/>
      <w:r>
        <w:t>Wurgler</w:t>
      </w:r>
      <w:proofErr w:type="spellEnd"/>
      <w:r>
        <w:t xml:space="preserve">, 2002), and the </w:t>
      </w:r>
      <w:proofErr w:type="spellStart"/>
      <w:r>
        <w:t>Brusov-Filatova-Orekhova</w:t>
      </w:r>
      <w:proofErr w:type="spellEnd"/>
      <w:r>
        <w:t xml:space="preserve"> (BFO) theory (</w:t>
      </w:r>
      <w:proofErr w:type="spellStart"/>
      <w:r>
        <w:t>Brusov</w:t>
      </w:r>
      <w:proofErr w:type="spellEnd"/>
      <w:r>
        <w:t xml:space="preserve">, Peter, et al., 2011). Among these theories, one of the well-supported theories is the agency theory (Jensen &amp; </w:t>
      </w:r>
      <w:proofErr w:type="spellStart"/>
      <w:r>
        <w:t>Meckling</w:t>
      </w:r>
      <w:proofErr w:type="spellEnd"/>
      <w:r>
        <w:t>, 1976), which has been strongly tested in empirical studies (</w:t>
      </w:r>
      <w:proofErr w:type="spellStart"/>
      <w:r>
        <w:t>Jiraporn</w:t>
      </w:r>
      <w:proofErr w:type="spellEnd"/>
      <w:r>
        <w:t xml:space="preserve"> et al., 2012). The theory argues that capital structure decisions are affected by agency costs, which arise from the conflict of interests between internal parties, CEOs, and other stakeholders, including the board and institutional investors. </w:t>
      </w:r>
    </w:p>
    <w:p w14:paraId="1F4CD992" w14:textId="77777777" w:rsidR="00340A38" w:rsidRDefault="00000000">
      <w:pPr>
        <w:spacing w:line="480" w:lineRule="auto"/>
        <w:jc w:val="both"/>
      </w:pPr>
      <w:r>
        <w:t xml:space="preserve">To empirically study the engagement of the three parties in capital structure, we created three indexes indicating CEO power, BOD power, and Institutional Investor power. We first selected the features follow the prior research studying CEO, BOD, and Institutional Investors. After feature selection, PCA and FA were applied to combine the multi-dimensional variables into a one-dimensional index. Specifically, PCA could afford loadings to each of the variables based on the variance contribution in the data, and FA would figure out a potentially lower number of unobserved variables to describe variability among observed, correlated variables. We then eventually determined the index based on the domain knowledge. This is more accountable than entirely manually weighing. </w:t>
      </w:r>
    </w:p>
    <w:p w14:paraId="624366AA" w14:textId="77777777" w:rsidR="00340A38" w:rsidRDefault="00000000">
      <w:pPr>
        <w:spacing w:line="480" w:lineRule="auto"/>
        <w:jc w:val="both"/>
      </w:pPr>
      <w:r>
        <w:t xml:space="preserve">We then employed pooled ordinary least squares (OLS), fixed effects (FE), and random effects (RE) techniques for regression analysis. Our empirical results display a power hierarchy based on our panel data. Two parties, </w:t>
      </w:r>
      <w:proofErr w:type="gramStart"/>
      <w:r>
        <w:t>CEOs</w:t>
      </w:r>
      <w:proofErr w:type="gramEnd"/>
      <w:r>
        <w:t xml:space="preserve"> and Institutional Investors, have a larger impact on capital structure than BODs. Specifically, the CEOs and Institutional Investors </w:t>
      </w:r>
      <w:proofErr w:type="gramStart"/>
      <w:r>
        <w:t>are in contrast to</w:t>
      </w:r>
      <w:proofErr w:type="gramEnd"/>
      <w:r>
        <w:t xml:space="preserve"> corporate leverage decisions, and CEOs have a greater power. The result indicates the conflicts of interest and an agency problem. Focusing on different industry groups, due to a limit of observations for some industries, we only select the ones with over 100 observations. The results indicate that for some industries with typical characteristics, such as the low tangibility and high growth value of </w:t>
      </w:r>
      <w:r>
        <w:lastRenderedPageBreak/>
        <w:t xml:space="preserve">the IT industry, this industry feature would play an important role in capital structure, and thus we cannot observe significant conflicts of interest among three parties. Moreover, the firm ownership structure, SOEs and non-SOEs, also makes a difference in the relationship between CEOs, BODs, and Institutional Investors. Specifically, BODs in SOEs own more power in capital structure, and the standpoint of Institutional Investors also varies from two different ownership structures. </w:t>
      </w:r>
    </w:p>
    <w:p w14:paraId="4EC6838A" w14:textId="77777777" w:rsidR="00340A38" w:rsidRDefault="00000000">
      <w:pPr>
        <w:spacing w:line="480" w:lineRule="auto"/>
        <w:jc w:val="both"/>
      </w:pPr>
      <w:r>
        <w:t xml:space="preserve">The main contributions of our study are as follows: First, this paper enriches the research on the determinants of corporate capital structure. Our pioneering study combines three important aspects and compares the weights of the three parties, trying to intuitively show the conflict between the principal (institutional investors and the board of directors) and the agent (CEO). Second, our study also </w:t>
      </w:r>
      <w:proofErr w:type="gramStart"/>
      <w:r>
        <w:t>opens up</w:t>
      </w:r>
      <w:proofErr w:type="gramEnd"/>
      <w:r>
        <w:t xml:space="preserve"> new avenues for future research, such as, in addition to capital structure, what are the differences in the focus of institutional investors in state-owned enterprises and private enterprises; for example, in what other investment behaviors does this difference manifest itself? Is the comparison of the power of CEOs, boards of directors, and institutional investors also reflected in other aspects of corporate governance? Are their behaviors consistent, or are there significant differences? Third, our study also provides policymakers with a new perspective to compare state-owned enterprises and non-state-owned enterprises. Specifically, does the distribution of power and the social and political goals of state-owned enterprises lead to the relatively slow development momentum of state-owned enterprises relative to non-state-owned enterprises, and how to formulate policies to achieve a better balance of power and promote development? In addition, our findings enable all parties in governance, including investors and managers, to understand which parts really work. Therefore, when they encounter similar situations in the future, they can make better investment decisions to improve overall performance.</w:t>
      </w:r>
    </w:p>
    <w:p w14:paraId="30B121AC" w14:textId="77777777" w:rsidR="00340A38" w:rsidRDefault="00000000">
      <w:pPr>
        <w:spacing w:line="480" w:lineRule="auto"/>
        <w:jc w:val="both"/>
      </w:pPr>
      <w:r>
        <w:lastRenderedPageBreak/>
        <w:t>The rest of this paper is organized as follows: Section 2 describes the institutional background related to our study. Section 3 reviews previous studies and proposes hypotheses. Section 4 summarizes the data sources and the methods used. The empirical results are analyzed in Section 5. Finally, Section 6 summarizes the conclusions and limitations of the study.</w:t>
      </w:r>
    </w:p>
    <w:p w14:paraId="1665837A" w14:textId="77777777" w:rsidR="00340A38" w:rsidRDefault="00000000">
      <w:pPr>
        <w:pStyle w:val="Heading1"/>
        <w:ind w:left="0" w:firstLine="0"/>
      </w:pPr>
      <w:bookmarkStart w:id="2" w:name="_rwk2lrn40r75" w:colFirst="0" w:colLast="0"/>
      <w:bookmarkEnd w:id="2"/>
      <w:r>
        <w:t>2. Institutional Background</w:t>
      </w:r>
    </w:p>
    <w:p w14:paraId="4F719771" w14:textId="77777777" w:rsidR="00340A38" w:rsidRDefault="00000000">
      <w:pPr>
        <w:pStyle w:val="Heading2"/>
      </w:pPr>
      <w:bookmarkStart w:id="3" w:name="_r6cvky8e1x3j" w:colFirst="0" w:colLast="0"/>
      <w:bookmarkEnd w:id="3"/>
      <w:r>
        <w:t>2.1 CEO roles in Chinese listed companies</w:t>
      </w:r>
    </w:p>
    <w:p w14:paraId="53CBA5C3" w14:textId="77777777" w:rsidR="00340A38" w:rsidRDefault="00000000">
      <w:pPr>
        <w:spacing w:line="480" w:lineRule="auto"/>
        <w:jc w:val="both"/>
      </w:pPr>
      <w:r>
        <w:t xml:space="preserve">In China, CEOs’ roles are significantly affected by the ownership structure. The differences lie in their interest and power. State-owned enterprises (SOEs) carry substantial policy responsibilities that are pivotal to the national economy and thus aim at supporting governmental objectives. Managed under the oversight of the State-owned Assets Supervision and Administration Commission (SASAC), SOEs focus not only on economic performance but also on fulfilling sociopolitical goals set by the government, such as job creation and social welfare. This dual focus places CEOs of SOEs in a position where their actions are guided by governmental policies and SASAC directives, diluting the impact of their motivations on firm strategy and innovation. (Bruton et al., 2015, Bai et al., 2006). Consequently, there's a tendency for SOE executives to engage in activities that enhance their political standing, potentially at the expense of innovation and long-term firm performance​. </w:t>
      </w:r>
    </w:p>
    <w:p w14:paraId="46A31044" w14:textId="77777777" w:rsidR="00340A38" w:rsidRDefault="00000000">
      <w:pPr>
        <w:spacing w:line="480" w:lineRule="auto"/>
        <w:jc w:val="both"/>
      </w:pPr>
      <w:r>
        <w:t xml:space="preserve">Regarding their power, in China, it’s possible that the same individual simultaneously holds CEO and Chair positions. This dual capacity is considered an indicator of enhanced discretionary power. However, when the two positions are held by different people, the delineation of power between these two roles, however, varies markedly across different types of ownership. Specifically, in SOEs, the Chair of the Board of Directors (BOD) often assumes a leading role in governance, </w:t>
      </w:r>
      <w:r>
        <w:lastRenderedPageBreak/>
        <w:t xml:space="preserve">mirroring the substantial influence of state ownership on these organizations. This centralization of authority within SOEs starkly contrasts with the situation in Non-State-Owned Enterprises (Non-SOEs), where power tends to be more dispersed, granting these entities greater autonomy in their governance (Jiang &amp; Kim, 2015). This difference underscores the nuanced impact of ownership structure on corporate governance in China, highlighting the distinct operational dynamics between SOEs and non-SOEs. Therefore, it’s worth analyzing the CEO power in capital structure under different ownership structures in Chinese listed companies. </w:t>
      </w:r>
    </w:p>
    <w:p w14:paraId="78B3E627" w14:textId="77777777" w:rsidR="00340A38" w:rsidRDefault="00000000">
      <w:pPr>
        <w:pStyle w:val="Heading2"/>
      </w:pPr>
      <w:bookmarkStart w:id="4" w:name="_yx9xvz5h25pw" w:colFirst="0" w:colLast="0"/>
      <w:bookmarkEnd w:id="4"/>
      <w:r>
        <w:t>2.2 BOD roles in Chinese listed companies</w:t>
      </w:r>
    </w:p>
    <w:p w14:paraId="28916420" w14:textId="77777777" w:rsidR="00340A38" w:rsidRDefault="00000000">
      <w:pPr>
        <w:spacing w:line="480" w:lineRule="auto"/>
        <w:jc w:val="both"/>
      </w:pPr>
      <w:r>
        <w:t>Theoretically, independent directors are positioned not only to monitor company management but also to provide valuable advice and guidance (Kim et al., 2014). In China, following the establishment of the Shanghai Stock Exchange (SHSE) and the Shenzhen Stock Exchange (SZSE), Company Law was implemented in December 1993 and introduced a dual-board governance structure, consisting of a Board of Directors (BOD) and a Supervisory Board (SB). Within this framework, the BOD owns more power and is somehow directly tasked with the firm's management, including strategic decision-making, whereas the SB is designed to monitor the BOD. Therefore, in our research, we focus more on BOD.</w:t>
      </w:r>
    </w:p>
    <w:p w14:paraId="6CBAE023" w14:textId="77777777" w:rsidR="00340A38" w:rsidRDefault="00000000">
      <w:pPr>
        <w:spacing w:line="480" w:lineRule="auto"/>
        <w:jc w:val="both"/>
      </w:pPr>
      <w:r>
        <w:t xml:space="preserve">Another point worth mentioning is that in China, since 1997, independent directors have been included on their boards to oversee management activities and protect the interests of minority shareholders. In 2001, the China Securities Regulatory Commission (CSRC) introduced specific regulations for independent directors to bolster their effectiveness and independence: (1) Independent directors and their close family members must not be employed by or hold a substantial shareholding in the company, (2) They are prohibited from owning a significant portion </w:t>
      </w:r>
      <w:r>
        <w:lastRenderedPageBreak/>
        <w:t>of any business owned by the company's main shareholders, (3) They cannot offer consultancy services to the company, and (4) At least one independent director is required to possess qualifications in accounting. These measures have reportedly enhanced the functionality and effectiveness of boards in China. On April 14, 2023, The State Council decided to further optimize the independent director system of listed companies. According to the circular, independent directors should take up more than one-third of the BOD. For SOEs, external directors, including independent directors, should predominate.</w:t>
      </w:r>
    </w:p>
    <w:p w14:paraId="5835879D" w14:textId="77777777" w:rsidR="00340A38" w:rsidRDefault="00000000">
      <w:pPr>
        <w:pStyle w:val="Heading2"/>
      </w:pPr>
      <w:bookmarkStart w:id="5" w:name="_cra79okfqohp" w:colFirst="0" w:colLast="0"/>
      <w:bookmarkEnd w:id="5"/>
      <w:r>
        <w:t>2.3 Institutional Investors roles in Chinese listed companies</w:t>
      </w:r>
    </w:p>
    <w:p w14:paraId="18A07744" w14:textId="77777777" w:rsidR="00340A38" w:rsidRDefault="00000000">
      <w:pPr>
        <w:spacing w:line="480" w:lineRule="auto"/>
        <w:jc w:val="both"/>
      </w:pPr>
      <w:r>
        <w:t xml:space="preserve">Institutional investors are typically seen as investors who either possess informational advantages or are large investors with sufficient capital to influence asset prices. The inception of China's institutional investor growth was marked by the 1997 "Interim Measures for the Management of Securities Investment Funds." This led to the establishment of the first closed-end fund in 1998, introducing professional institutional investment. By 2001, efforts were made to leverage these investors for market stabilization, notably with China's inaugural open-end fund. The QFII program commenced in 2002. The National Social Security Fund entered the stock market in 2003, a year also notable for the enactment of the "Securities Investment Fund Law," which provided a regulatory structure. The private fund sector saw rapid expansion beginning with the first sunshine private equity fund in 2004, followed by insurance companies' stock market investments in 2005. Since 2006, the institutional investment landscape in China has entered a rapid development phase, evolving into a diverse structure led by securities investment funds. This structure integrates various institutional investors, including securities companies, trust companies, insurance companies, Qualified Foreign Institutional Investors (QFII), social security funds, and corporate annuities. With the expanding number of institutional investors, the increasing scale of </w:t>
      </w:r>
      <w:r>
        <w:lastRenderedPageBreak/>
        <w:t>investments, and the overall enhancement in quality, the institutionalization of the securities market's investment entities has become increasingly pronounced.</w:t>
      </w:r>
    </w:p>
    <w:p w14:paraId="5F0C2E63" w14:textId="77777777" w:rsidR="00340A38" w:rsidRDefault="00000000">
      <w:pPr>
        <w:pStyle w:val="Heading1"/>
        <w:ind w:left="0" w:firstLine="0"/>
      </w:pPr>
      <w:bookmarkStart w:id="6" w:name="_yyy1e58xuikt" w:colFirst="0" w:colLast="0"/>
      <w:bookmarkEnd w:id="6"/>
      <w:r>
        <w:t xml:space="preserve">3. Literature Review and Hypotheses development </w:t>
      </w:r>
    </w:p>
    <w:p w14:paraId="715C7F20" w14:textId="77777777" w:rsidR="00340A38" w:rsidRDefault="00000000">
      <w:pPr>
        <w:spacing w:line="480" w:lineRule="auto"/>
        <w:jc w:val="both"/>
      </w:pPr>
      <w:r>
        <w:t xml:space="preserve">Capital structure choice has long been an issue that intrigues diverse theories to explain and predict. The reason lies in the fact that there are different positions, including managers and shareholders, that would have different interests, resulting in different optimal choices for the firm’s leverage ratio. In the past decades, various theories have been carried out to explain the firm’s financing decisions, including the free-cash-flow theory (Jensen &amp; </w:t>
      </w:r>
      <w:proofErr w:type="spellStart"/>
      <w:r>
        <w:t>Meckling</w:t>
      </w:r>
      <w:proofErr w:type="spellEnd"/>
      <w:r>
        <w:t xml:space="preserve">, 1976), the trade-off theory (Miller, 1977), the pecking order theory (Myers &amp; </w:t>
      </w:r>
      <w:proofErr w:type="spellStart"/>
      <w:r>
        <w:t>Majluf</w:t>
      </w:r>
      <w:proofErr w:type="spellEnd"/>
      <w:r>
        <w:t xml:space="preserve">, 1984), the market timing hypothesis theory (Baker &amp; </w:t>
      </w:r>
      <w:proofErr w:type="spellStart"/>
      <w:r>
        <w:t>Wurgler</w:t>
      </w:r>
      <w:proofErr w:type="spellEnd"/>
      <w:r>
        <w:t xml:space="preserve">, 2002) and the </w:t>
      </w:r>
      <w:proofErr w:type="spellStart"/>
      <w:r>
        <w:t>Brusov</w:t>
      </w:r>
      <w:proofErr w:type="spellEnd"/>
      <w:r>
        <w:t>–</w:t>
      </w:r>
      <w:proofErr w:type="spellStart"/>
      <w:r>
        <w:t>Filatova</w:t>
      </w:r>
      <w:proofErr w:type="spellEnd"/>
      <w:r>
        <w:t>–</w:t>
      </w:r>
      <w:proofErr w:type="spellStart"/>
      <w:r>
        <w:t>Orekhova</w:t>
      </w:r>
      <w:proofErr w:type="spellEnd"/>
      <w:r>
        <w:t xml:space="preserve"> (BFO) theory (</w:t>
      </w:r>
      <w:proofErr w:type="spellStart"/>
      <w:r>
        <w:t>Brusov</w:t>
      </w:r>
      <w:proofErr w:type="spellEnd"/>
      <w:r>
        <w:t xml:space="preserve">, Peter, et al., 2011). In our research, we would focus on the free cash flow theory, which can also be called the agency cost theory, to explain the relationship between the agency and the capital structure. </w:t>
      </w:r>
    </w:p>
    <w:p w14:paraId="0485F5CD" w14:textId="77777777" w:rsidR="00340A38" w:rsidRDefault="00000000">
      <w:pPr>
        <w:spacing w:line="480" w:lineRule="auto"/>
        <w:jc w:val="both"/>
      </w:pPr>
      <w:r>
        <w:t xml:space="preserve">Specifically, agency costs arise from the conflicts between the shareholders and the managers. The managers may make use of the asymmetric information to take actions that enhance their own utility at the cost of the shareholders’ interest, and thus cause damage to firm value. According to Jensen, one prescription to mitigate agency costs is increasing debts (Jensen, 1986). Leverage could be considered as a tool to help prevent managers from investing in unprofitable projects, ensure their payout promise, and motivate organizational incentives. Thus, standing in the position of shareholders, the theory gives out an ex-ante optimal leverage ratio that would maximize the value of the firm, namely the shareholders’ wealth. However, this optimal leverage ratio fails to take the management discretion into consideration. More leverage may contribute to high bankruptcy costs, which is against the managers’ interest. Since the corporate governance body </w:t>
      </w:r>
      <w:r>
        <w:lastRenderedPageBreak/>
        <w:t xml:space="preserve">has power over deciding the leverage ratio out of the asymmetric information, </w:t>
      </w:r>
      <w:proofErr w:type="gramStart"/>
      <w:r>
        <w:t>as long as</w:t>
      </w:r>
      <w:proofErr w:type="gramEnd"/>
      <w:r>
        <w:t xml:space="preserve"> the corporate governance body is in a safe position, he would place his own interest over that of shareholders. </w:t>
      </w:r>
    </w:p>
    <w:p w14:paraId="223360AA" w14:textId="77777777" w:rsidR="00340A38" w:rsidRDefault="00000000">
      <w:pPr>
        <w:spacing w:line="480" w:lineRule="auto"/>
        <w:jc w:val="both"/>
      </w:pPr>
      <w:r>
        <w:t xml:space="preserve">Understanding the conflicts that existed in the capital structure of different parties, previous literature has respectively focused on one specific party and tried to discover the relationship between that party and the capital structure. The main three parties involved the CEO, the board of directors (BOD), and institutional investors. </w:t>
      </w:r>
    </w:p>
    <w:p w14:paraId="28100D29" w14:textId="77777777" w:rsidR="00340A38" w:rsidRDefault="00000000">
      <w:pPr>
        <w:pStyle w:val="Heading2"/>
      </w:pPr>
      <w:bookmarkStart w:id="7" w:name="_qng2m78bxn1s" w:colFirst="0" w:colLast="0"/>
      <w:bookmarkEnd w:id="7"/>
      <w:r>
        <w:t>CEO power</w:t>
      </w:r>
    </w:p>
    <w:p w14:paraId="0AD5A89A" w14:textId="77777777" w:rsidR="00340A38" w:rsidRDefault="00000000">
      <w:pPr>
        <w:spacing w:line="480" w:lineRule="auto"/>
        <w:jc w:val="both"/>
        <w:rPr>
          <w:b/>
        </w:rPr>
      </w:pPr>
      <w:r>
        <w:t xml:space="preserve">Firstly, using the underlying agency theory, Gormley et al. (2016) studying the United States and China markets independently, figured out a hump-shaped association between CEO power and leverage, which is consistent with the </w:t>
      </w:r>
      <w:proofErr w:type="gramStart"/>
      <w:r>
        <w:t>aforementioned logic</w:t>
      </w:r>
      <w:proofErr w:type="gramEnd"/>
      <w:r>
        <w:t xml:space="preserve">. When CEOs have less power, a firm may leverage more to mitigate the agency cost. However, when CEOs boast a high power that exceeds the threshold point, they tend to lower the leverage level to reduce bankruptcy and debt financing risk. </w:t>
      </w:r>
    </w:p>
    <w:p w14:paraId="41B1D318" w14:textId="77777777" w:rsidR="00340A38" w:rsidRDefault="00000000">
      <w:pPr>
        <w:pStyle w:val="Heading2"/>
        <w:spacing w:after="0" w:line="480" w:lineRule="auto"/>
        <w:jc w:val="both"/>
      </w:pPr>
      <w:bookmarkStart w:id="8" w:name="_biqppaj55xjw" w:colFirst="0" w:colLast="0"/>
      <w:bookmarkEnd w:id="8"/>
      <w:r>
        <w:t>Board of directors</w:t>
      </w:r>
    </w:p>
    <w:p w14:paraId="5DFC0D91" w14:textId="78C2F817" w:rsidR="00340A38" w:rsidRDefault="00000000">
      <w:pPr>
        <w:spacing w:line="480" w:lineRule="auto"/>
        <w:jc w:val="both"/>
      </w:pPr>
      <w:r>
        <w:t xml:space="preserve">The board of directors has been regarded as the paramount governance mechanism. Previous literature mostly focuses on the board size and the board independence as two major attributes when measuring the power of the board. Specifically, prior research suggested that smaller boards tend to boast more efficient governance mechanisms. For </w:t>
      </w:r>
      <w:r w:rsidR="00ED6383">
        <w:t>instance, Guest</w:t>
      </w:r>
      <w:r>
        <w:t xml:space="preserve"> and Paul (2009) found that large boards would experience more communication and coordination difficulties. According to Jensen (1993), “When boards get beyond seven or eight people, they are less likely to function effectively and are easier for the CEO to control”. However, given that the two principal functions </w:t>
      </w:r>
      <w:r>
        <w:lastRenderedPageBreak/>
        <w:t>of the board are monitoring and advising, small boards may lack broad expertise and diverse connections with the external environments (Guest, 2009). Besides, small boards may also be less independent (Boone et al., 2007; Saeed et al., 2016), which is the second attribute of the board power. Besides, the board independence is ambiguous too. The effectiveness of board independence is highly related to the cost of information. If the cost of information is low, in other words, it’s easy for outside directors to get the corporate information and monitor, the higher board independence contributes to better monitor power.</w:t>
      </w:r>
      <w:r w:rsidR="00ED6383">
        <w:t xml:space="preserve"> </w:t>
      </w:r>
      <w:proofErr w:type="gramStart"/>
      <w:r>
        <w:t>(</w:t>
      </w:r>
      <w:proofErr w:type="spellStart"/>
      <w:proofErr w:type="gramEnd"/>
      <w:r>
        <w:t>Duchin</w:t>
      </w:r>
      <w:proofErr w:type="spellEnd"/>
      <w:r>
        <w:t xml:space="preserve"> et al., 2010; </w:t>
      </w:r>
      <w:proofErr w:type="spellStart"/>
      <w:r>
        <w:t>Wintoki</w:t>
      </w:r>
      <w:proofErr w:type="spellEnd"/>
      <w:r>
        <w:t xml:space="preserve"> et al., 2012)</w:t>
      </w:r>
    </w:p>
    <w:p w14:paraId="29A16951" w14:textId="77777777" w:rsidR="00340A38" w:rsidRDefault="00000000">
      <w:pPr>
        <w:pStyle w:val="Heading2"/>
        <w:spacing w:line="480" w:lineRule="auto"/>
        <w:jc w:val="both"/>
      </w:pPr>
      <w:bookmarkStart w:id="9" w:name="_2884c4czh75x" w:colFirst="0" w:colLast="0"/>
      <w:bookmarkEnd w:id="9"/>
      <w:r>
        <w:t>Institutional investors</w:t>
      </w:r>
    </w:p>
    <w:p w14:paraId="305202A5" w14:textId="77777777" w:rsidR="00340A38" w:rsidRDefault="00000000">
      <w:pPr>
        <w:spacing w:line="480" w:lineRule="auto"/>
        <w:jc w:val="both"/>
      </w:pPr>
      <w:r>
        <w:t xml:space="preserve">Over the last several decades, the market has witnessed the rising power of institutional investors. According to Hirschman (1970), institutional investors would have two choices when they are unsatisfied with their portfolios. They can either choose to effect change by engaging with the management or exit the firm by selling their shares. In a survey of institutional investors, </w:t>
      </w:r>
      <w:proofErr w:type="spellStart"/>
      <w:r>
        <w:t>McCahery</w:t>
      </w:r>
      <w:proofErr w:type="spellEnd"/>
      <w:r>
        <w:t xml:space="preserve">, Sautner, and Starks (2014) found that institutional investors were more likely to execute the latter choice, which is to engage in management and make a difference. In this case, their influence on capital structure cannot be underestimated. </w:t>
      </w:r>
    </w:p>
    <w:p w14:paraId="553C52F3" w14:textId="6AB47414" w:rsidR="00340A38" w:rsidRDefault="00000000">
      <w:pPr>
        <w:spacing w:line="480" w:lineRule="auto"/>
        <w:jc w:val="both"/>
      </w:pPr>
      <w:r>
        <w:t xml:space="preserve">Therefore, since all three parties would somehow exert some influence on the capital structure, if we combine them to compare their impact, </w:t>
      </w:r>
      <w:proofErr w:type="gramStart"/>
      <w:r>
        <w:t>on the basis of</w:t>
      </w:r>
      <w:proofErr w:type="gramEnd"/>
      <w:r>
        <w:t xml:space="preserve"> historical theoretical arguments and following our empirical findings to date, we expect the following hypotheses.  </w:t>
      </w:r>
    </w:p>
    <w:p w14:paraId="06471A69" w14:textId="77777777" w:rsidR="00340A38" w:rsidRDefault="00000000">
      <w:pPr>
        <w:spacing w:before="200" w:line="480" w:lineRule="auto"/>
        <w:jc w:val="both"/>
        <w:rPr>
          <w:b/>
        </w:rPr>
      </w:pPr>
      <w:r>
        <w:rPr>
          <w:b/>
        </w:rPr>
        <w:t>H1: The CEO power would adjust the leverage ratio lower while the BOD and Institutional Investors would expect a higher leverage ratio to achieve better shareholder wealth.</w:t>
      </w:r>
    </w:p>
    <w:p w14:paraId="70CCD15C" w14:textId="77777777" w:rsidR="00340A38" w:rsidRDefault="00000000">
      <w:pPr>
        <w:spacing w:before="200" w:line="480" w:lineRule="auto"/>
        <w:jc w:val="both"/>
        <w:rPr>
          <w:b/>
        </w:rPr>
      </w:pPr>
      <w:r>
        <w:rPr>
          <w:b/>
        </w:rPr>
        <w:t xml:space="preserve">H2: The influence of the CEO would be larger than the other two parts because of the asymmetric information. </w:t>
      </w:r>
    </w:p>
    <w:p w14:paraId="7C889E7E" w14:textId="77777777" w:rsidR="00340A38" w:rsidRDefault="00000000">
      <w:pPr>
        <w:pStyle w:val="Heading1"/>
        <w:spacing w:line="480" w:lineRule="auto"/>
        <w:ind w:left="0" w:firstLine="0"/>
      </w:pPr>
      <w:bookmarkStart w:id="10" w:name="_xww8o6uaow1c" w:colFirst="0" w:colLast="0"/>
      <w:bookmarkEnd w:id="10"/>
      <w:r>
        <w:lastRenderedPageBreak/>
        <w:t>4. Data &amp; Methodology</w:t>
      </w:r>
    </w:p>
    <w:p w14:paraId="20355384" w14:textId="77777777" w:rsidR="00340A38" w:rsidRDefault="00000000">
      <w:pPr>
        <w:pStyle w:val="Heading2"/>
        <w:spacing w:after="0" w:line="480" w:lineRule="auto"/>
      </w:pPr>
      <w:bookmarkStart w:id="11" w:name="_4i6cy5njycy8" w:colFirst="0" w:colLast="0"/>
      <w:bookmarkEnd w:id="11"/>
      <w:r>
        <w:t xml:space="preserve">4.1 Data Selection </w:t>
      </w:r>
    </w:p>
    <w:p w14:paraId="38D1BFA7" w14:textId="77777777" w:rsidR="00340A38" w:rsidRDefault="00000000">
      <w:pPr>
        <w:spacing w:line="480" w:lineRule="auto"/>
        <w:jc w:val="both"/>
      </w:pPr>
      <w:proofErr w:type="gramStart"/>
      <w:r>
        <w:t>In order to</w:t>
      </w:r>
      <w:proofErr w:type="gramEnd"/>
      <w:r>
        <w:t xml:space="preserve"> generate an overall view of the Chinese market, the sample data of our study would focus on all the Chinese A-listed firms over the period from 2011 to 2022. The year-end of our sample data is December 31, 2022. </w:t>
      </w:r>
    </w:p>
    <w:p w14:paraId="61B23532" w14:textId="77777777" w:rsidR="00340A38" w:rsidRDefault="00000000">
      <w:pPr>
        <w:spacing w:line="480" w:lineRule="auto"/>
        <w:jc w:val="both"/>
      </w:pPr>
      <w:r>
        <w:t xml:space="preserve">Moreover, we omit firms designated with special treatment (ST and *ST) status, as well as entities operating within the financial sector. The rationale behind this decision is twofold. Firstly, ST and *ST firms typically face financial or operational difficulties, which could skew the results due to these underlying issues. Secondly, firms in the financial sector, including banks, trusts, insurance companies, and financial management firms, exhibit significantly distinct balance sheet structures compared to their non-financial counterparts. Additionally, to ensure the integrity of our analysis, we have excluded companies with any missing data variables for the period from 2011 to 2022. </w:t>
      </w:r>
    </w:p>
    <w:p w14:paraId="0CAF9C9A" w14:textId="77777777" w:rsidR="00340A38" w:rsidRDefault="00000000">
      <w:pPr>
        <w:spacing w:line="480" w:lineRule="auto"/>
        <w:jc w:val="both"/>
      </w:pPr>
      <w:r>
        <w:t xml:space="preserve">The data are sourced from two platforms. Data for financial statistics of firms and institutional investors are collected from WIND. Data for CEO and BOD (Board of Directors) characteristics are obtained from CSMAR. After deleting the companies that had just gone public in 2011, since we need the data in 2010 to calculate the investment stability of institutional investors, as a result, the final sample includes a panel of 7,405 firm-year observations, representing 618 firms. </w:t>
      </w:r>
    </w:p>
    <w:p w14:paraId="481786D4" w14:textId="77777777" w:rsidR="00340A38" w:rsidRDefault="00000000">
      <w:pPr>
        <w:pStyle w:val="Heading2"/>
        <w:spacing w:after="0" w:line="480" w:lineRule="auto"/>
      </w:pPr>
      <w:bookmarkStart w:id="12" w:name="_yssk9kb7x3c7" w:colFirst="0" w:colLast="0"/>
      <w:bookmarkEnd w:id="12"/>
      <w:r>
        <w:lastRenderedPageBreak/>
        <w:t>4.2 Variable Description</w:t>
      </w:r>
    </w:p>
    <w:p w14:paraId="499C4669" w14:textId="77777777" w:rsidR="00340A38" w:rsidRDefault="00000000">
      <w:pPr>
        <w:pStyle w:val="Heading3"/>
      </w:pPr>
      <w:bookmarkStart w:id="13" w:name="_63rxa8ic6o3l" w:colFirst="0" w:colLast="0"/>
      <w:bookmarkEnd w:id="13"/>
      <w:r>
        <w:t>4.2.1 Variable Definition</w:t>
      </w:r>
    </w:p>
    <w:p w14:paraId="0B460A5B" w14:textId="77777777" w:rsidR="00340A38" w:rsidRDefault="00000000">
      <w:pPr>
        <w:pStyle w:val="Heading4"/>
        <w:spacing w:line="480" w:lineRule="auto"/>
      </w:pPr>
      <w:bookmarkStart w:id="14" w:name="_up9vllin2rb9" w:colFirst="0" w:colLast="0"/>
      <w:bookmarkEnd w:id="14"/>
      <w:r>
        <w:t>4.2.1.1 Dependent Variable</w:t>
      </w:r>
    </w:p>
    <w:p w14:paraId="1908013B" w14:textId="77777777" w:rsidR="00340A38" w:rsidRDefault="00000000">
      <w:pPr>
        <w:spacing w:line="480" w:lineRule="auto"/>
        <w:jc w:val="both"/>
      </w:pPr>
      <w:r>
        <w:t xml:space="preserve">Our dependent variable is capital structure. We define capital structure as the book value-based leverage ratio. The reasons are as follows. Initially, existing research indicates that managerial financial decisions are predominantly influenced by book values (Graham &amp; Harvey, 2001). Furthermore, book value leverage tends to exhibit less fluctuation compared to market value leverage, making it a more stable option for guiding a company’s financial framework (Graham &amp; Harvey, 2001; </w:t>
      </w:r>
      <w:proofErr w:type="spellStart"/>
      <w:r>
        <w:t>Florackis</w:t>
      </w:r>
      <w:proofErr w:type="spellEnd"/>
      <w:r>
        <w:t xml:space="preserve"> &amp; </w:t>
      </w:r>
      <w:proofErr w:type="spellStart"/>
      <w:r>
        <w:t>Ozkan</w:t>
      </w:r>
      <w:proofErr w:type="spellEnd"/>
      <w:r>
        <w:t xml:space="preserve">, 2009). Additionally, the inefficiency of the Chinese stock market might introduce a considerable amount of irrelevant data to decisions regarding capital structure, diminishing the effectiveness of market value leverage (Chang, Chen, &amp; Liao, 2014). </w:t>
      </w:r>
    </w:p>
    <w:p w14:paraId="6323E270" w14:textId="77777777" w:rsidR="00340A38" w:rsidRDefault="00000000">
      <w:pPr>
        <w:pStyle w:val="Heading4"/>
        <w:spacing w:line="480" w:lineRule="auto"/>
      </w:pPr>
      <w:bookmarkStart w:id="15" w:name="_u99dgoytg99s" w:colFirst="0" w:colLast="0"/>
      <w:bookmarkEnd w:id="15"/>
      <w:r>
        <w:t>4.2.1.2 Independent Variables</w:t>
      </w:r>
    </w:p>
    <w:p w14:paraId="72B2D0C1" w14:textId="77777777" w:rsidR="00340A38" w:rsidRDefault="00000000">
      <w:pPr>
        <w:spacing w:line="480" w:lineRule="auto"/>
        <w:jc w:val="both"/>
      </w:pPr>
      <w:r>
        <w:t xml:space="preserve">Our independent variables are indicators for CEO power (CEO), Board of Directors power (BOD), and Institutional Investor power (II). For each indicator, we have chosen several variables, including continuous and discrete variables, and we would build the three indicators through principal component analysis (PCA) and factor analysis (FA) correspondingly. </w:t>
      </w:r>
    </w:p>
    <w:p w14:paraId="50FF75CC" w14:textId="77777777" w:rsidR="00340A38" w:rsidRDefault="00000000">
      <w:pPr>
        <w:pStyle w:val="Heading5"/>
        <w:jc w:val="both"/>
      </w:pPr>
      <w:bookmarkStart w:id="16" w:name="_115lq2cv3i7h" w:colFirst="0" w:colLast="0"/>
      <w:bookmarkEnd w:id="16"/>
      <w:r>
        <w:t>CEO power</w:t>
      </w:r>
    </w:p>
    <w:p w14:paraId="7356EC59" w14:textId="77777777" w:rsidR="00340A38" w:rsidRDefault="00000000">
      <w:pPr>
        <w:spacing w:line="480" w:lineRule="auto"/>
        <w:jc w:val="both"/>
      </w:pPr>
      <w:r>
        <w:t xml:space="preserve">Since CEO power has long been an important variable, many previous studies have already established it. Following Finkelstein, 1992, CEO power can be broken down into four aspects, which are structural power, ownership power, expert power, and prestige power (Finkelstein, 1992). However, it’s still challenging for us to directly observe these powers. To empirically measure CEO dominance in financial decision-making, based on the four aspects, in this study, a </w:t>
      </w:r>
      <w:r>
        <w:lastRenderedPageBreak/>
        <w:t xml:space="preserve">CEO's power is conceptualized as their ability to consistently shape the financing choices of their organization. We construct a power index based on the following five CEO-related variables. </w:t>
      </w:r>
    </w:p>
    <w:p w14:paraId="68B5F8FB" w14:textId="77777777" w:rsidR="00340A38" w:rsidRDefault="00000000">
      <w:pPr>
        <w:pStyle w:val="Heading5"/>
        <w:jc w:val="both"/>
      </w:pPr>
      <w:bookmarkStart w:id="17" w:name="_4l9v0uui0v68" w:colFirst="0" w:colLast="0"/>
      <w:bookmarkEnd w:id="17"/>
      <w:r>
        <w:t>BOD power</w:t>
      </w:r>
    </w:p>
    <w:p w14:paraId="281DAF8B" w14:textId="77777777" w:rsidR="00340A38" w:rsidRDefault="00000000">
      <w:pPr>
        <w:spacing w:line="480" w:lineRule="auto"/>
        <w:jc w:val="both"/>
      </w:pPr>
      <w:r>
        <w:t xml:space="preserve">A robust board structure could mitigate the discretion of CEOs by monitoring. Based on prior studies, the power of BOD is closely related to the size and the number of independent directors. Specifically, </w:t>
      </w:r>
      <w:proofErr w:type="spellStart"/>
      <w:r>
        <w:t>Fama</w:t>
      </w:r>
      <w:proofErr w:type="spellEnd"/>
      <w:r>
        <w:t xml:space="preserve"> and Jensen (1983) emphasize the board's advisory role, asserting that independent directors are more effective in providing essential business insights and resources. Guest (2008) further advocates for increasing both the size of the board and the number of external directors to augment the advice and information available to the CEO, thereby promoting better-informed decision-making processes. Thus, we construct a power index based on the following three BOD-related variables. </w:t>
      </w:r>
    </w:p>
    <w:p w14:paraId="15E432BA" w14:textId="77777777" w:rsidR="00340A38" w:rsidRDefault="00000000">
      <w:pPr>
        <w:pStyle w:val="Heading5"/>
        <w:jc w:val="both"/>
      </w:pPr>
      <w:bookmarkStart w:id="18" w:name="_b78zg0agbw5i" w:colFirst="0" w:colLast="0"/>
      <w:bookmarkEnd w:id="18"/>
      <w:r>
        <w:t>Institutional Investors power</w:t>
      </w:r>
    </w:p>
    <w:p w14:paraId="6E7ACB21" w14:textId="70A91574" w:rsidR="00340A38" w:rsidRDefault="00000000">
      <w:pPr>
        <w:spacing w:line="480" w:lineRule="auto"/>
        <w:jc w:val="both"/>
      </w:pPr>
      <w:r>
        <w:t xml:space="preserve">Institutional investors have two ways to show their dissatisfaction with a firm, including “direct intervention”, which is to engage directly with management to initiate change, or “voting with their feet”, which is to opt to sell their shares (Hirschman, 1970). This indicates that an institutional investor could discipline their management power through both direct voting and this threat of exit can. Therefore, regarding institutional investors as an indispensable part of monitoring the whole capital structure decision-making progress, </w:t>
      </w:r>
      <w:proofErr w:type="gramStart"/>
      <w:r>
        <w:t>we</w:t>
      </w:r>
      <w:proofErr w:type="gramEnd"/>
      <w:r>
        <w:t xml:space="preserve"> dived into three aspects to measure their power, including the stability of their proportion in the whole investment, the concentration of the top one investor and also their activeness based on their fiduciary duties. Specifically, we define active investors as those who have a business relationship with the firms and </w:t>
      </w:r>
      <w:r w:rsidR="00ED6383">
        <w:t>thus,</w:t>
      </w:r>
      <w:r>
        <w:t xml:space="preserve"> they are more likely to participate in the corporate decision-making process, though they may also be more vulnerable </w:t>
      </w:r>
      <w:r>
        <w:lastRenderedPageBreak/>
        <w:t>to corporate management pressure. Since investors, including QFII, public pension funds, and foundations, are less likely to engage in firm management, we would focus on the rest of the institutional investors. (</w:t>
      </w:r>
      <w:proofErr w:type="spellStart"/>
      <w:r>
        <w:t>Bushee</w:t>
      </w:r>
      <w:proofErr w:type="spellEnd"/>
      <w:r>
        <w:t xml:space="preserve">, 1988; </w:t>
      </w:r>
      <w:proofErr w:type="spellStart"/>
      <w:r>
        <w:t>Brickley</w:t>
      </w:r>
      <w:proofErr w:type="spellEnd"/>
      <w:r>
        <w:t xml:space="preserve"> et al., 1988). Therefore, we assume that the more active investors are, the higher the overall power of institutional investors would be. </w:t>
      </w:r>
    </w:p>
    <w:p w14:paraId="77CFAEB7" w14:textId="77777777" w:rsidR="00340A38" w:rsidRDefault="00000000">
      <w:pPr>
        <w:spacing w:line="480" w:lineRule="auto"/>
        <w:jc w:val="both"/>
      </w:pPr>
      <w:r>
        <w:t xml:space="preserve">We have also considered some more indicators for institutional investor power. Specifically, we have tried to figure out the stability (INSTA) based on the change in the proportion of institutional investment </w:t>
      </w:r>
      <w:proofErr w:type="gramStart"/>
      <w:r>
        <w:t>and also</w:t>
      </w:r>
      <w:proofErr w:type="gramEnd"/>
      <w:r>
        <w:t xml:space="preserve"> the concentration based on the ratio of share ownership of the top institutional investor. However, since we cannot have access to the exact investors’ information, which means we cannot track the investors about their behavior, but only have a snapshot of overall investor data for the company, these two metrics fail to represent the power we want. Besides, we also cannot have any voting data from the investors’ meeting for companies. Therefore, at last, we construct a power index based on their activeness. </w:t>
      </w:r>
    </w:p>
    <w:p w14:paraId="756E9ABD" w14:textId="77777777" w:rsidR="00340A38" w:rsidRDefault="00000000">
      <w:pPr>
        <w:pStyle w:val="Heading4"/>
        <w:spacing w:line="480" w:lineRule="auto"/>
        <w:jc w:val="both"/>
      </w:pPr>
      <w:bookmarkStart w:id="19" w:name="_mdgag4lulap0" w:colFirst="0" w:colLast="0"/>
      <w:bookmarkEnd w:id="19"/>
      <w:r>
        <w:t>4.2.1.3 Control variables</w:t>
      </w:r>
    </w:p>
    <w:p w14:paraId="2F333308" w14:textId="77777777" w:rsidR="00340A38" w:rsidRDefault="00000000">
      <w:pPr>
        <w:spacing w:line="480" w:lineRule="auto"/>
        <w:jc w:val="both"/>
      </w:pPr>
      <w:r>
        <w:t>In addition to the CEO, institutional investors, and the board of directors, there are also other factors determining the capital structure of the company. Therefore, we group them together as firm-specific features, covering the aspects of corporate size, profitability, and tangibility.</w:t>
      </w:r>
    </w:p>
    <w:p w14:paraId="5A3982CF" w14:textId="77777777" w:rsidR="00340A38" w:rsidRDefault="00000000">
      <w:pPr>
        <w:pStyle w:val="Heading2"/>
        <w:spacing w:line="480" w:lineRule="auto"/>
        <w:jc w:val="both"/>
      </w:pPr>
      <w:bookmarkStart w:id="20" w:name="_8zxd1ibel2pa" w:colFirst="0" w:colLast="0"/>
      <w:bookmarkEnd w:id="20"/>
      <w:r>
        <w:t>4.3 Descriptive Statistics and Correlation Matrix</w:t>
      </w:r>
    </w:p>
    <w:p w14:paraId="6B5C3549" w14:textId="77777777" w:rsidR="00340A38" w:rsidRDefault="00000000">
      <w:pPr>
        <w:spacing w:before="200" w:line="480" w:lineRule="auto"/>
        <w:jc w:val="both"/>
      </w:pPr>
      <w:r>
        <w:t xml:space="preserve">Panel A shows the statistics for CEO power. There are five measures in total, and we report them separately. Over half of CEOs (54.70%) have at least a master's degree, with a left-skewed distribution indicating an overall high-education background. The data further suggests that 54.30% of CEOs have positions in other companies. The average natural logarithm of tenure of CEOs is 1.68, which is approximately 48 months, suggesting that CEOs typically hold their </w:t>
      </w:r>
      <w:r>
        <w:lastRenderedPageBreak/>
        <w:t xml:space="preserve">positions for no more than half a decade. It shows that the duality situation, where the chair and the CEO position are held by the same individual, occurs in 42.81% of observations, indicating that the CEO-Chairman function is highly concentrated in China-listed firms. Regarding the variable of ownership power, only 13.26% of CEOs hold more than 10% of firm shares, suggesting that there may be some limitations and </w:t>
      </w:r>
      <w:proofErr w:type="gramStart"/>
      <w:r>
        <w:t>a majority of</w:t>
      </w:r>
      <w:proofErr w:type="gramEnd"/>
      <w:r>
        <w:t xml:space="preserve"> Chinese listed firms chose other manager compensation approaches rather than equity incentives. However, the distribution is right-skewed, indicating that a few CEOs have high shareholdings. This may also result from the nature of companies that SOEs would restrict the CEO’s share ownership.  </w:t>
      </w:r>
    </w:p>
    <w:p w14:paraId="4B75158C" w14:textId="77777777" w:rsidR="00340A38" w:rsidRDefault="00000000">
      <w:pPr>
        <w:spacing w:before="200" w:line="480" w:lineRule="auto"/>
        <w:jc w:val="both"/>
      </w:pPr>
      <w:r>
        <w:t xml:space="preserve">Panel B shows the statistics for BOD power. The mean of board size is 8.79 with a relatively small standard deviation of 1.75, suggesting that the board size doesn’t vary significantly among firms. Further, the independent directors on average account for 37.27%, with a right-skewed distribution implying that some firms have a significantly high percentage of independent directors. The shareholdings of the board are around 29.83%. </w:t>
      </w:r>
    </w:p>
    <w:p w14:paraId="65C88894" w14:textId="77777777" w:rsidR="00340A38" w:rsidRDefault="00000000">
      <w:pPr>
        <w:spacing w:before="200" w:line="480" w:lineRule="auto"/>
        <w:jc w:val="both"/>
      </w:pPr>
      <w:r>
        <w:t xml:space="preserve">Panel C shows the statistics for Institutional Investors power. Considering the fiduciary duties, the proportion of active investors is nearly 94% on average. Panel D shows the control variables. We take the 10-base logarithm of three data. </w:t>
      </w:r>
    </w:p>
    <w:p w14:paraId="592C851C" w14:textId="04B7C75D" w:rsidR="00340A38" w:rsidRDefault="00000000">
      <w:pPr>
        <w:spacing w:before="200" w:line="480" w:lineRule="auto"/>
        <w:jc w:val="both"/>
      </w:pPr>
      <w:proofErr w:type="gramStart"/>
      <w:r>
        <w:t>In order to</w:t>
      </w:r>
      <w:proofErr w:type="gramEnd"/>
      <w:r>
        <w:t xml:space="preserve"> generate a better overview of the cross-sectional data, we also divided our sample into 16 industries based on the China Securities Regulatory Commission Industry Classification. It shows that there are some differences between average leverage across different industries. Industries such as Real Estate (65.4%), Construction</w:t>
      </w:r>
      <w:r w:rsidR="00ED6383">
        <w:t xml:space="preserve"> </w:t>
      </w:r>
      <w:r>
        <w:t>(67.37%), Utilities</w:t>
      </w:r>
      <w:r w:rsidR="00ED6383">
        <w:t xml:space="preserve"> </w:t>
      </w:r>
      <w:r>
        <w:t xml:space="preserve">(60.5%), and Leasing &amp; Business services (61.75%) have the highest leverage, which is in line with the idea that the industries owning more tangible assets have higher leverage capability. On the other hand, we </w:t>
      </w:r>
      <w:r>
        <w:lastRenderedPageBreak/>
        <w:t xml:space="preserve">observe that the IT and information industry and Technical Services industry have the lowest leverage 35.92% and 17.36% respectively. As has been shown in </w:t>
      </w:r>
      <w:r>
        <w:rPr>
          <w:b/>
        </w:rPr>
        <w:t>Figure 1</w:t>
      </w:r>
      <w:r>
        <w:t xml:space="preserve">, by selecting these typical industries, the discrepancies among different industries are clear. </w:t>
      </w:r>
    </w:p>
    <w:p w14:paraId="05A98B74" w14:textId="6A45AA67" w:rsidR="00ED6383" w:rsidRDefault="00000000" w:rsidP="00ED6383">
      <w:pPr>
        <w:spacing w:before="200" w:line="480" w:lineRule="auto"/>
        <w:jc w:val="both"/>
      </w:pPr>
      <w:r>
        <w:t xml:space="preserve">Furthermore, we also divided our sample into SOEs and non-SOEs to determine how the firm nature would influence the leverage. In general, SOEs have a higher leverage than non-SOEs, but non-SOEs have some significant outliers. If we exclude the upper-bound outliers, the average leverage of non-SOEs would be rather smaller. The result can also be obtained from </w:t>
      </w:r>
      <w:r>
        <w:rPr>
          <w:b/>
        </w:rPr>
        <w:t>Figure 2</w:t>
      </w:r>
      <w:r>
        <w:t>.</w:t>
      </w:r>
    </w:p>
    <w:p w14:paraId="6E741DA6" w14:textId="25B4017B" w:rsidR="00340A38" w:rsidRDefault="00000000">
      <w:pPr>
        <w:spacing w:before="200" w:after="0"/>
        <w:rPr>
          <w:b/>
          <w:sz w:val="18"/>
          <w:szCs w:val="18"/>
        </w:rPr>
      </w:pPr>
      <w:r>
        <w:rPr>
          <w:b/>
          <w:sz w:val="20"/>
          <w:szCs w:val="20"/>
        </w:rPr>
        <w:t>Table 1</w:t>
      </w:r>
    </w:p>
    <w:p w14:paraId="77A24AB5" w14:textId="77777777" w:rsidR="00340A38" w:rsidRDefault="00000000">
      <w:pPr>
        <w:spacing w:after="0"/>
      </w:pPr>
      <w:r>
        <w:rPr>
          <w:b/>
          <w:sz w:val="18"/>
          <w:szCs w:val="18"/>
        </w:rPr>
        <w:t>Panel A: CEO Power</w:t>
      </w:r>
    </w:p>
    <w:tbl>
      <w:tblPr>
        <w:tblStyle w:val="a"/>
        <w:tblW w:w="9420"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660"/>
        <w:gridCol w:w="1095"/>
        <w:gridCol w:w="1095"/>
        <w:gridCol w:w="1095"/>
        <w:gridCol w:w="1095"/>
        <w:gridCol w:w="1095"/>
        <w:gridCol w:w="1095"/>
        <w:gridCol w:w="1095"/>
        <w:gridCol w:w="1095"/>
      </w:tblGrid>
      <w:tr w:rsidR="00340A38" w14:paraId="5483F76E" w14:textId="77777777">
        <w:trPr>
          <w:cantSplit/>
          <w:trHeight w:val="450"/>
        </w:trPr>
        <w:tc>
          <w:tcPr>
            <w:tcW w:w="660" w:type="dxa"/>
            <w:tcBorders>
              <w:top w:val="nil"/>
              <w:left w:val="nil"/>
              <w:bottom w:val="single" w:sz="3" w:space="0" w:color="000000"/>
              <w:right w:val="nil"/>
            </w:tcBorders>
            <w:tcMar>
              <w:top w:w="20" w:type="dxa"/>
              <w:left w:w="20" w:type="dxa"/>
              <w:bottom w:w="100" w:type="dxa"/>
              <w:right w:w="20" w:type="dxa"/>
            </w:tcMar>
            <w:vAlign w:val="bottom"/>
          </w:tcPr>
          <w:p w14:paraId="2819070E" w14:textId="77777777" w:rsidR="00340A38" w:rsidRDefault="00340A38">
            <w:pPr>
              <w:spacing w:after="0"/>
              <w:rPr>
                <w:sz w:val="18"/>
                <w:szCs w:val="18"/>
              </w:rPr>
            </w:pPr>
          </w:p>
        </w:tc>
        <w:tc>
          <w:tcPr>
            <w:tcW w:w="1095" w:type="dxa"/>
            <w:tcBorders>
              <w:top w:val="nil"/>
              <w:left w:val="nil"/>
              <w:bottom w:val="single" w:sz="3" w:space="0" w:color="000000"/>
              <w:right w:val="nil"/>
            </w:tcBorders>
            <w:tcMar>
              <w:top w:w="20" w:type="dxa"/>
              <w:left w:w="20" w:type="dxa"/>
              <w:bottom w:w="100" w:type="dxa"/>
              <w:right w:w="20" w:type="dxa"/>
            </w:tcMar>
          </w:tcPr>
          <w:p w14:paraId="63305CF4" w14:textId="77777777" w:rsidR="00340A38" w:rsidRDefault="00000000">
            <w:pPr>
              <w:spacing w:after="0"/>
              <w:jc w:val="center"/>
              <w:rPr>
                <w:sz w:val="18"/>
                <w:szCs w:val="18"/>
              </w:rPr>
            </w:pPr>
            <w:proofErr w:type="spellStart"/>
            <w:r>
              <w:rPr>
                <w:b/>
                <w:sz w:val="18"/>
                <w:szCs w:val="18"/>
              </w:rPr>
              <w:t>Obs</w:t>
            </w:r>
            <w:proofErr w:type="spellEnd"/>
          </w:p>
        </w:tc>
        <w:tc>
          <w:tcPr>
            <w:tcW w:w="1095" w:type="dxa"/>
            <w:tcBorders>
              <w:top w:val="nil"/>
              <w:left w:val="nil"/>
              <w:bottom w:val="single" w:sz="3" w:space="0" w:color="000000"/>
              <w:right w:val="nil"/>
            </w:tcBorders>
            <w:tcMar>
              <w:top w:w="20" w:type="dxa"/>
              <w:left w:w="20" w:type="dxa"/>
              <w:bottom w:w="100" w:type="dxa"/>
              <w:right w:w="20" w:type="dxa"/>
            </w:tcMar>
          </w:tcPr>
          <w:p w14:paraId="516AF7AC" w14:textId="77777777" w:rsidR="00340A38" w:rsidRDefault="00000000">
            <w:pPr>
              <w:spacing w:after="0"/>
              <w:jc w:val="center"/>
              <w:rPr>
                <w:sz w:val="18"/>
                <w:szCs w:val="18"/>
              </w:rPr>
            </w:pPr>
            <w:r>
              <w:rPr>
                <w:b/>
                <w:sz w:val="18"/>
                <w:szCs w:val="18"/>
              </w:rPr>
              <w:t>Mean</w:t>
            </w:r>
          </w:p>
        </w:tc>
        <w:tc>
          <w:tcPr>
            <w:tcW w:w="1095" w:type="dxa"/>
            <w:tcBorders>
              <w:top w:val="nil"/>
              <w:left w:val="nil"/>
              <w:bottom w:val="single" w:sz="3" w:space="0" w:color="000000"/>
              <w:right w:val="nil"/>
            </w:tcBorders>
            <w:tcMar>
              <w:top w:w="20" w:type="dxa"/>
              <w:left w:w="20" w:type="dxa"/>
              <w:bottom w:w="100" w:type="dxa"/>
              <w:right w:w="20" w:type="dxa"/>
            </w:tcMar>
          </w:tcPr>
          <w:p w14:paraId="0FAC6511" w14:textId="77777777" w:rsidR="00340A38" w:rsidRDefault="00000000">
            <w:pPr>
              <w:spacing w:after="0"/>
              <w:jc w:val="center"/>
              <w:rPr>
                <w:sz w:val="18"/>
                <w:szCs w:val="18"/>
              </w:rPr>
            </w:pPr>
            <w:r>
              <w:rPr>
                <w:b/>
                <w:sz w:val="18"/>
                <w:szCs w:val="18"/>
              </w:rPr>
              <w:t>Std</w:t>
            </w:r>
          </w:p>
        </w:tc>
        <w:tc>
          <w:tcPr>
            <w:tcW w:w="1095" w:type="dxa"/>
            <w:tcBorders>
              <w:top w:val="nil"/>
              <w:left w:val="nil"/>
              <w:bottom w:val="single" w:sz="3" w:space="0" w:color="000000"/>
              <w:right w:val="nil"/>
            </w:tcBorders>
            <w:tcMar>
              <w:top w:w="20" w:type="dxa"/>
              <w:left w:w="20" w:type="dxa"/>
              <w:bottom w:w="100" w:type="dxa"/>
              <w:right w:w="20" w:type="dxa"/>
            </w:tcMar>
          </w:tcPr>
          <w:p w14:paraId="63AE0003" w14:textId="77777777" w:rsidR="00340A38" w:rsidRDefault="00000000">
            <w:pPr>
              <w:spacing w:after="0"/>
              <w:jc w:val="center"/>
              <w:rPr>
                <w:sz w:val="18"/>
                <w:szCs w:val="18"/>
              </w:rPr>
            </w:pPr>
            <w:r>
              <w:rPr>
                <w:b/>
                <w:sz w:val="18"/>
                <w:szCs w:val="18"/>
              </w:rPr>
              <w:t>Min</w:t>
            </w:r>
          </w:p>
        </w:tc>
        <w:tc>
          <w:tcPr>
            <w:tcW w:w="1095" w:type="dxa"/>
            <w:tcBorders>
              <w:top w:val="nil"/>
              <w:left w:val="nil"/>
              <w:bottom w:val="single" w:sz="3" w:space="0" w:color="000000"/>
              <w:right w:val="nil"/>
            </w:tcBorders>
            <w:tcMar>
              <w:top w:w="20" w:type="dxa"/>
              <w:left w:w="20" w:type="dxa"/>
              <w:bottom w:w="100" w:type="dxa"/>
              <w:right w:w="20" w:type="dxa"/>
            </w:tcMar>
          </w:tcPr>
          <w:p w14:paraId="25434DD4" w14:textId="77777777" w:rsidR="00340A38" w:rsidRDefault="00000000">
            <w:pPr>
              <w:spacing w:after="0"/>
              <w:jc w:val="center"/>
              <w:rPr>
                <w:sz w:val="18"/>
                <w:szCs w:val="18"/>
              </w:rPr>
            </w:pPr>
            <w:r>
              <w:rPr>
                <w:b/>
                <w:sz w:val="18"/>
                <w:szCs w:val="18"/>
              </w:rPr>
              <w:t>Median</w:t>
            </w:r>
          </w:p>
        </w:tc>
        <w:tc>
          <w:tcPr>
            <w:tcW w:w="1095" w:type="dxa"/>
            <w:tcBorders>
              <w:top w:val="nil"/>
              <w:left w:val="nil"/>
              <w:bottom w:val="single" w:sz="3" w:space="0" w:color="000000"/>
              <w:right w:val="nil"/>
            </w:tcBorders>
            <w:tcMar>
              <w:top w:w="20" w:type="dxa"/>
              <w:left w:w="20" w:type="dxa"/>
              <w:bottom w:w="100" w:type="dxa"/>
              <w:right w:w="20" w:type="dxa"/>
            </w:tcMar>
          </w:tcPr>
          <w:p w14:paraId="220D9695" w14:textId="77777777" w:rsidR="00340A38" w:rsidRDefault="00000000">
            <w:pPr>
              <w:spacing w:after="0"/>
              <w:jc w:val="center"/>
              <w:rPr>
                <w:sz w:val="18"/>
                <w:szCs w:val="18"/>
              </w:rPr>
            </w:pPr>
            <w:r>
              <w:rPr>
                <w:b/>
                <w:sz w:val="18"/>
                <w:szCs w:val="18"/>
              </w:rPr>
              <w:t>Max</w:t>
            </w:r>
          </w:p>
        </w:tc>
        <w:tc>
          <w:tcPr>
            <w:tcW w:w="1095" w:type="dxa"/>
            <w:tcBorders>
              <w:top w:val="nil"/>
              <w:left w:val="nil"/>
              <w:bottom w:val="single" w:sz="3" w:space="0" w:color="000000"/>
              <w:right w:val="nil"/>
            </w:tcBorders>
            <w:tcMar>
              <w:top w:w="20" w:type="dxa"/>
              <w:left w:w="20" w:type="dxa"/>
              <w:bottom w:w="100" w:type="dxa"/>
              <w:right w:w="20" w:type="dxa"/>
            </w:tcMar>
          </w:tcPr>
          <w:p w14:paraId="7E56A06D" w14:textId="77777777" w:rsidR="00340A38" w:rsidRDefault="00000000">
            <w:pPr>
              <w:spacing w:after="0"/>
              <w:jc w:val="center"/>
              <w:rPr>
                <w:sz w:val="18"/>
                <w:szCs w:val="18"/>
              </w:rPr>
            </w:pPr>
            <w:r>
              <w:rPr>
                <w:b/>
                <w:sz w:val="18"/>
                <w:szCs w:val="18"/>
              </w:rPr>
              <w:t>Skewness</w:t>
            </w:r>
          </w:p>
        </w:tc>
        <w:tc>
          <w:tcPr>
            <w:tcW w:w="1095" w:type="dxa"/>
            <w:tcBorders>
              <w:top w:val="nil"/>
              <w:left w:val="nil"/>
              <w:bottom w:val="single" w:sz="3" w:space="0" w:color="000000"/>
              <w:right w:val="nil"/>
            </w:tcBorders>
            <w:tcMar>
              <w:top w:w="20" w:type="dxa"/>
              <w:left w:w="20" w:type="dxa"/>
              <w:bottom w:w="100" w:type="dxa"/>
              <w:right w:w="20" w:type="dxa"/>
            </w:tcMar>
          </w:tcPr>
          <w:p w14:paraId="5C556EAE" w14:textId="77777777" w:rsidR="00340A38" w:rsidRDefault="00000000">
            <w:pPr>
              <w:spacing w:after="0"/>
              <w:jc w:val="center"/>
              <w:rPr>
                <w:sz w:val="18"/>
                <w:szCs w:val="18"/>
              </w:rPr>
            </w:pPr>
            <w:r>
              <w:rPr>
                <w:b/>
                <w:sz w:val="18"/>
                <w:szCs w:val="18"/>
              </w:rPr>
              <w:t>Kurtosis</w:t>
            </w:r>
          </w:p>
        </w:tc>
      </w:tr>
      <w:tr w:rsidR="00340A38" w14:paraId="36F85046" w14:textId="77777777">
        <w:trPr>
          <w:cantSplit/>
          <w:trHeight w:val="450"/>
        </w:trPr>
        <w:tc>
          <w:tcPr>
            <w:tcW w:w="660" w:type="dxa"/>
            <w:tcBorders>
              <w:top w:val="nil"/>
              <w:left w:val="nil"/>
              <w:bottom w:val="nil"/>
              <w:right w:val="nil"/>
            </w:tcBorders>
            <w:tcMar>
              <w:top w:w="20" w:type="dxa"/>
              <w:left w:w="20" w:type="dxa"/>
              <w:bottom w:w="100" w:type="dxa"/>
              <w:right w:w="20" w:type="dxa"/>
            </w:tcMar>
          </w:tcPr>
          <w:p w14:paraId="65B81837" w14:textId="77777777" w:rsidR="00340A38" w:rsidRDefault="00000000">
            <w:pPr>
              <w:spacing w:after="0"/>
              <w:jc w:val="center"/>
              <w:rPr>
                <w:sz w:val="18"/>
                <w:szCs w:val="18"/>
              </w:rPr>
            </w:pPr>
            <w:r>
              <w:rPr>
                <w:b/>
                <w:sz w:val="18"/>
                <w:szCs w:val="18"/>
              </w:rPr>
              <w:t>CDEG</w:t>
            </w:r>
          </w:p>
        </w:tc>
        <w:tc>
          <w:tcPr>
            <w:tcW w:w="1095" w:type="dxa"/>
            <w:tcBorders>
              <w:top w:val="nil"/>
              <w:left w:val="nil"/>
              <w:bottom w:val="nil"/>
              <w:right w:val="nil"/>
            </w:tcBorders>
            <w:tcMar>
              <w:top w:w="20" w:type="dxa"/>
              <w:left w:w="20" w:type="dxa"/>
              <w:bottom w:w="100" w:type="dxa"/>
              <w:right w:w="20" w:type="dxa"/>
            </w:tcMar>
            <w:vAlign w:val="bottom"/>
          </w:tcPr>
          <w:p w14:paraId="6285ED57" w14:textId="77777777" w:rsidR="00340A38" w:rsidRDefault="00000000">
            <w:pPr>
              <w:spacing w:after="0"/>
              <w:jc w:val="center"/>
              <w:rPr>
                <w:sz w:val="18"/>
                <w:szCs w:val="18"/>
              </w:rPr>
            </w:pPr>
            <w:r>
              <w:rPr>
                <w:sz w:val="18"/>
                <w:szCs w:val="18"/>
              </w:rPr>
              <w:t>7405</w:t>
            </w:r>
          </w:p>
        </w:tc>
        <w:tc>
          <w:tcPr>
            <w:tcW w:w="1095" w:type="dxa"/>
            <w:tcBorders>
              <w:top w:val="nil"/>
              <w:left w:val="nil"/>
              <w:bottom w:val="nil"/>
              <w:right w:val="nil"/>
            </w:tcBorders>
            <w:tcMar>
              <w:top w:w="20" w:type="dxa"/>
              <w:left w:w="20" w:type="dxa"/>
              <w:bottom w:w="100" w:type="dxa"/>
              <w:right w:w="20" w:type="dxa"/>
            </w:tcMar>
            <w:vAlign w:val="bottom"/>
          </w:tcPr>
          <w:p w14:paraId="46EF0A02" w14:textId="77777777" w:rsidR="00340A38" w:rsidRDefault="00000000">
            <w:pPr>
              <w:spacing w:after="0"/>
              <w:jc w:val="center"/>
              <w:rPr>
                <w:sz w:val="18"/>
                <w:szCs w:val="18"/>
              </w:rPr>
            </w:pPr>
            <w:r>
              <w:rPr>
                <w:sz w:val="18"/>
                <w:szCs w:val="18"/>
              </w:rPr>
              <w:t>0.547062795</w:t>
            </w:r>
          </w:p>
        </w:tc>
        <w:tc>
          <w:tcPr>
            <w:tcW w:w="1095" w:type="dxa"/>
            <w:tcBorders>
              <w:top w:val="nil"/>
              <w:left w:val="nil"/>
              <w:bottom w:val="nil"/>
              <w:right w:val="nil"/>
            </w:tcBorders>
            <w:tcMar>
              <w:top w:w="20" w:type="dxa"/>
              <w:left w:w="20" w:type="dxa"/>
              <w:bottom w:w="100" w:type="dxa"/>
              <w:right w:w="20" w:type="dxa"/>
            </w:tcMar>
            <w:vAlign w:val="bottom"/>
          </w:tcPr>
          <w:p w14:paraId="5B5FBBAD" w14:textId="77777777" w:rsidR="00340A38" w:rsidRDefault="00000000">
            <w:pPr>
              <w:spacing w:after="0"/>
              <w:jc w:val="center"/>
              <w:rPr>
                <w:sz w:val="18"/>
                <w:szCs w:val="18"/>
              </w:rPr>
            </w:pPr>
            <w:r>
              <w:rPr>
                <w:sz w:val="18"/>
                <w:szCs w:val="18"/>
              </w:rPr>
              <w:t>0.49781378</w:t>
            </w:r>
          </w:p>
        </w:tc>
        <w:tc>
          <w:tcPr>
            <w:tcW w:w="1095" w:type="dxa"/>
            <w:tcBorders>
              <w:top w:val="nil"/>
              <w:left w:val="nil"/>
              <w:bottom w:val="nil"/>
              <w:right w:val="nil"/>
            </w:tcBorders>
            <w:tcMar>
              <w:top w:w="20" w:type="dxa"/>
              <w:left w:w="20" w:type="dxa"/>
              <w:bottom w:w="100" w:type="dxa"/>
              <w:right w:w="20" w:type="dxa"/>
            </w:tcMar>
            <w:vAlign w:val="bottom"/>
          </w:tcPr>
          <w:p w14:paraId="02AFCA99" w14:textId="77777777" w:rsidR="00340A38" w:rsidRDefault="00000000">
            <w:pPr>
              <w:spacing w:after="0"/>
              <w:jc w:val="center"/>
              <w:rPr>
                <w:sz w:val="18"/>
                <w:szCs w:val="18"/>
              </w:rPr>
            </w:pPr>
            <w:r>
              <w:rPr>
                <w:sz w:val="18"/>
                <w:szCs w:val="18"/>
              </w:rPr>
              <w:t>0</w:t>
            </w:r>
          </w:p>
        </w:tc>
        <w:tc>
          <w:tcPr>
            <w:tcW w:w="1095" w:type="dxa"/>
            <w:tcBorders>
              <w:top w:val="nil"/>
              <w:left w:val="nil"/>
              <w:bottom w:val="nil"/>
              <w:right w:val="nil"/>
            </w:tcBorders>
            <w:tcMar>
              <w:top w:w="20" w:type="dxa"/>
              <w:left w:w="20" w:type="dxa"/>
              <w:bottom w:w="100" w:type="dxa"/>
              <w:right w:w="20" w:type="dxa"/>
            </w:tcMar>
            <w:vAlign w:val="bottom"/>
          </w:tcPr>
          <w:p w14:paraId="2CFBEE87" w14:textId="77777777" w:rsidR="00340A38" w:rsidRDefault="00000000">
            <w:pPr>
              <w:spacing w:after="0"/>
              <w:jc w:val="center"/>
              <w:rPr>
                <w:sz w:val="18"/>
                <w:szCs w:val="18"/>
              </w:rPr>
            </w:pPr>
            <w:r>
              <w:rPr>
                <w:sz w:val="18"/>
                <w:szCs w:val="18"/>
              </w:rPr>
              <w:t>1</w:t>
            </w:r>
          </w:p>
        </w:tc>
        <w:tc>
          <w:tcPr>
            <w:tcW w:w="1095" w:type="dxa"/>
            <w:tcBorders>
              <w:top w:val="nil"/>
              <w:left w:val="nil"/>
              <w:bottom w:val="nil"/>
              <w:right w:val="nil"/>
            </w:tcBorders>
            <w:tcMar>
              <w:top w:w="20" w:type="dxa"/>
              <w:left w:w="20" w:type="dxa"/>
              <w:bottom w:w="100" w:type="dxa"/>
              <w:right w:w="20" w:type="dxa"/>
            </w:tcMar>
            <w:vAlign w:val="bottom"/>
          </w:tcPr>
          <w:p w14:paraId="57FA8B8F" w14:textId="77777777" w:rsidR="00340A38" w:rsidRDefault="00000000">
            <w:pPr>
              <w:spacing w:after="0"/>
              <w:jc w:val="center"/>
              <w:rPr>
                <w:sz w:val="18"/>
                <w:szCs w:val="18"/>
              </w:rPr>
            </w:pPr>
            <w:r>
              <w:rPr>
                <w:sz w:val="18"/>
                <w:szCs w:val="18"/>
              </w:rPr>
              <w:t>1</w:t>
            </w:r>
          </w:p>
        </w:tc>
        <w:tc>
          <w:tcPr>
            <w:tcW w:w="1095" w:type="dxa"/>
            <w:tcBorders>
              <w:top w:val="nil"/>
              <w:left w:val="nil"/>
              <w:bottom w:val="nil"/>
              <w:right w:val="nil"/>
            </w:tcBorders>
            <w:tcMar>
              <w:top w:w="20" w:type="dxa"/>
              <w:left w:w="20" w:type="dxa"/>
              <w:bottom w:w="100" w:type="dxa"/>
              <w:right w:w="20" w:type="dxa"/>
            </w:tcMar>
            <w:vAlign w:val="bottom"/>
          </w:tcPr>
          <w:p w14:paraId="41C8C79D" w14:textId="77777777" w:rsidR="00340A38" w:rsidRDefault="00000000">
            <w:pPr>
              <w:spacing w:after="0"/>
              <w:jc w:val="center"/>
              <w:rPr>
                <w:sz w:val="18"/>
                <w:szCs w:val="18"/>
              </w:rPr>
            </w:pPr>
            <w:r>
              <w:rPr>
                <w:sz w:val="18"/>
                <w:szCs w:val="18"/>
              </w:rPr>
              <w:t>-0.189128995</w:t>
            </w:r>
          </w:p>
        </w:tc>
        <w:tc>
          <w:tcPr>
            <w:tcW w:w="1095" w:type="dxa"/>
            <w:tcBorders>
              <w:top w:val="nil"/>
              <w:left w:val="nil"/>
              <w:bottom w:val="nil"/>
              <w:right w:val="nil"/>
            </w:tcBorders>
            <w:tcMar>
              <w:top w:w="20" w:type="dxa"/>
              <w:left w:w="20" w:type="dxa"/>
              <w:bottom w:w="100" w:type="dxa"/>
              <w:right w:w="20" w:type="dxa"/>
            </w:tcMar>
            <w:vAlign w:val="bottom"/>
          </w:tcPr>
          <w:p w14:paraId="4E9EA3A2" w14:textId="77777777" w:rsidR="00340A38" w:rsidRDefault="00000000">
            <w:pPr>
              <w:spacing w:after="0"/>
              <w:jc w:val="center"/>
              <w:rPr>
                <w:sz w:val="18"/>
                <w:szCs w:val="18"/>
              </w:rPr>
            </w:pPr>
            <w:r>
              <w:rPr>
                <w:sz w:val="18"/>
                <w:szCs w:val="18"/>
              </w:rPr>
              <w:t>-1.964760954</w:t>
            </w:r>
          </w:p>
        </w:tc>
      </w:tr>
      <w:tr w:rsidR="00340A38" w14:paraId="12F8D9D4" w14:textId="77777777">
        <w:trPr>
          <w:cantSplit/>
          <w:trHeight w:val="450"/>
        </w:trPr>
        <w:tc>
          <w:tcPr>
            <w:tcW w:w="660" w:type="dxa"/>
            <w:tcBorders>
              <w:top w:val="nil"/>
              <w:left w:val="nil"/>
              <w:bottom w:val="nil"/>
              <w:right w:val="nil"/>
            </w:tcBorders>
            <w:tcMar>
              <w:top w:w="20" w:type="dxa"/>
              <w:left w:w="20" w:type="dxa"/>
              <w:bottom w:w="100" w:type="dxa"/>
              <w:right w:w="20" w:type="dxa"/>
            </w:tcMar>
          </w:tcPr>
          <w:p w14:paraId="6F2C5FC6" w14:textId="77777777" w:rsidR="00340A38" w:rsidRDefault="00000000">
            <w:pPr>
              <w:spacing w:after="0"/>
              <w:jc w:val="center"/>
              <w:rPr>
                <w:sz w:val="18"/>
                <w:szCs w:val="18"/>
              </w:rPr>
            </w:pPr>
            <w:r>
              <w:rPr>
                <w:b/>
                <w:sz w:val="18"/>
                <w:szCs w:val="18"/>
              </w:rPr>
              <w:t>CCON</w:t>
            </w:r>
          </w:p>
        </w:tc>
        <w:tc>
          <w:tcPr>
            <w:tcW w:w="1095" w:type="dxa"/>
            <w:tcBorders>
              <w:top w:val="nil"/>
              <w:left w:val="nil"/>
              <w:bottom w:val="nil"/>
              <w:right w:val="nil"/>
            </w:tcBorders>
            <w:tcMar>
              <w:top w:w="20" w:type="dxa"/>
              <w:left w:w="20" w:type="dxa"/>
              <w:bottom w:w="100" w:type="dxa"/>
              <w:right w:w="20" w:type="dxa"/>
            </w:tcMar>
            <w:vAlign w:val="bottom"/>
          </w:tcPr>
          <w:p w14:paraId="146320AC" w14:textId="77777777" w:rsidR="00340A38" w:rsidRDefault="00000000">
            <w:pPr>
              <w:spacing w:after="0"/>
              <w:jc w:val="center"/>
              <w:rPr>
                <w:sz w:val="18"/>
                <w:szCs w:val="18"/>
              </w:rPr>
            </w:pPr>
            <w:r>
              <w:rPr>
                <w:sz w:val="18"/>
                <w:szCs w:val="18"/>
              </w:rPr>
              <w:t>7405</w:t>
            </w:r>
          </w:p>
        </w:tc>
        <w:tc>
          <w:tcPr>
            <w:tcW w:w="1095" w:type="dxa"/>
            <w:tcBorders>
              <w:top w:val="nil"/>
              <w:left w:val="nil"/>
              <w:bottom w:val="nil"/>
              <w:right w:val="nil"/>
            </w:tcBorders>
            <w:tcMar>
              <w:top w:w="20" w:type="dxa"/>
              <w:left w:w="20" w:type="dxa"/>
              <w:bottom w:w="100" w:type="dxa"/>
              <w:right w:w="20" w:type="dxa"/>
            </w:tcMar>
            <w:vAlign w:val="bottom"/>
          </w:tcPr>
          <w:p w14:paraId="39E935FC" w14:textId="77777777" w:rsidR="00340A38" w:rsidRDefault="00000000">
            <w:pPr>
              <w:spacing w:after="0"/>
              <w:jc w:val="center"/>
              <w:rPr>
                <w:sz w:val="18"/>
                <w:szCs w:val="18"/>
              </w:rPr>
            </w:pPr>
            <w:r>
              <w:rPr>
                <w:sz w:val="18"/>
                <w:szCs w:val="18"/>
              </w:rPr>
              <w:t>0.543011479</w:t>
            </w:r>
          </w:p>
        </w:tc>
        <w:tc>
          <w:tcPr>
            <w:tcW w:w="1095" w:type="dxa"/>
            <w:tcBorders>
              <w:top w:val="nil"/>
              <w:left w:val="nil"/>
              <w:bottom w:val="nil"/>
              <w:right w:val="nil"/>
            </w:tcBorders>
            <w:tcMar>
              <w:top w:w="20" w:type="dxa"/>
              <w:left w:w="20" w:type="dxa"/>
              <w:bottom w:w="100" w:type="dxa"/>
              <w:right w:w="20" w:type="dxa"/>
            </w:tcMar>
            <w:vAlign w:val="bottom"/>
          </w:tcPr>
          <w:p w14:paraId="42C8D3AC" w14:textId="77777777" w:rsidR="00340A38" w:rsidRDefault="00000000">
            <w:pPr>
              <w:spacing w:after="0"/>
              <w:jc w:val="center"/>
              <w:rPr>
                <w:sz w:val="18"/>
                <w:szCs w:val="18"/>
              </w:rPr>
            </w:pPr>
            <w:r>
              <w:rPr>
                <w:sz w:val="18"/>
                <w:szCs w:val="18"/>
              </w:rPr>
              <w:t>0.498180217</w:t>
            </w:r>
          </w:p>
        </w:tc>
        <w:tc>
          <w:tcPr>
            <w:tcW w:w="1095" w:type="dxa"/>
            <w:tcBorders>
              <w:top w:val="nil"/>
              <w:left w:val="nil"/>
              <w:bottom w:val="nil"/>
              <w:right w:val="nil"/>
            </w:tcBorders>
            <w:tcMar>
              <w:top w:w="20" w:type="dxa"/>
              <w:left w:w="20" w:type="dxa"/>
              <w:bottom w:w="100" w:type="dxa"/>
              <w:right w:w="20" w:type="dxa"/>
            </w:tcMar>
            <w:vAlign w:val="bottom"/>
          </w:tcPr>
          <w:p w14:paraId="2D6D4022" w14:textId="77777777" w:rsidR="00340A38" w:rsidRDefault="00000000">
            <w:pPr>
              <w:spacing w:after="0"/>
              <w:jc w:val="center"/>
              <w:rPr>
                <w:sz w:val="18"/>
                <w:szCs w:val="18"/>
              </w:rPr>
            </w:pPr>
            <w:r>
              <w:rPr>
                <w:sz w:val="18"/>
                <w:szCs w:val="18"/>
              </w:rPr>
              <w:t>0</w:t>
            </w:r>
          </w:p>
        </w:tc>
        <w:tc>
          <w:tcPr>
            <w:tcW w:w="1095" w:type="dxa"/>
            <w:tcBorders>
              <w:top w:val="nil"/>
              <w:left w:val="nil"/>
              <w:bottom w:val="nil"/>
              <w:right w:val="nil"/>
            </w:tcBorders>
            <w:tcMar>
              <w:top w:w="20" w:type="dxa"/>
              <w:left w:w="20" w:type="dxa"/>
              <w:bottom w:w="100" w:type="dxa"/>
              <w:right w:w="20" w:type="dxa"/>
            </w:tcMar>
            <w:vAlign w:val="bottom"/>
          </w:tcPr>
          <w:p w14:paraId="5342193D" w14:textId="77777777" w:rsidR="00340A38" w:rsidRDefault="00000000">
            <w:pPr>
              <w:spacing w:after="0"/>
              <w:jc w:val="center"/>
              <w:rPr>
                <w:sz w:val="18"/>
                <w:szCs w:val="18"/>
              </w:rPr>
            </w:pPr>
            <w:r>
              <w:rPr>
                <w:sz w:val="18"/>
                <w:szCs w:val="18"/>
              </w:rPr>
              <w:t>1</w:t>
            </w:r>
          </w:p>
        </w:tc>
        <w:tc>
          <w:tcPr>
            <w:tcW w:w="1095" w:type="dxa"/>
            <w:tcBorders>
              <w:top w:val="nil"/>
              <w:left w:val="nil"/>
              <w:bottom w:val="nil"/>
              <w:right w:val="nil"/>
            </w:tcBorders>
            <w:tcMar>
              <w:top w:w="20" w:type="dxa"/>
              <w:left w:w="20" w:type="dxa"/>
              <w:bottom w:w="100" w:type="dxa"/>
              <w:right w:w="20" w:type="dxa"/>
            </w:tcMar>
            <w:vAlign w:val="bottom"/>
          </w:tcPr>
          <w:p w14:paraId="29CF1E8A" w14:textId="77777777" w:rsidR="00340A38" w:rsidRDefault="00000000">
            <w:pPr>
              <w:spacing w:after="0"/>
              <w:jc w:val="center"/>
              <w:rPr>
                <w:sz w:val="18"/>
                <w:szCs w:val="18"/>
              </w:rPr>
            </w:pPr>
            <w:r>
              <w:rPr>
                <w:sz w:val="18"/>
                <w:szCs w:val="18"/>
              </w:rPr>
              <w:t>1</w:t>
            </w:r>
          </w:p>
        </w:tc>
        <w:tc>
          <w:tcPr>
            <w:tcW w:w="1095" w:type="dxa"/>
            <w:tcBorders>
              <w:top w:val="nil"/>
              <w:left w:val="nil"/>
              <w:bottom w:val="nil"/>
              <w:right w:val="nil"/>
            </w:tcBorders>
            <w:tcMar>
              <w:top w:w="20" w:type="dxa"/>
              <w:left w:w="20" w:type="dxa"/>
              <w:bottom w:w="100" w:type="dxa"/>
              <w:right w:w="20" w:type="dxa"/>
            </w:tcMar>
            <w:vAlign w:val="bottom"/>
          </w:tcPr>
          <w:p w14:paraId="09D364C2" w14:textId="77777777" w:rsidR="00340A38" w:rsidRDefault="00000000">
            <w:pPr>
              <w:spacing w:after="0"/>
              <w:jc w:val="center"/>
              <w:rPr>
                <w:sz w:val="18"/>
                <w:szCs w:val="18"/>
              </w:rPr>
            </w:pPr>
            <w:r>
              <w:rPr>
                <w:sz w:val="18"/>
                <w:szCs w:val="18"/>
              </w:rPr>
              <w:t>-0.172721025</w:t>
            </w:r>
          </w:p>
        </w:tc>
        <w:tc>
          <w:tcPr>
            <w:tcW w:w="1095" w:type="dxa"/>
            <w:tcBorders>
              <w:top w:val="nil"/>
              <w:left w:val="nil"/>
              <w:bottom w:val="nil"/>
              <w:right w:val="nil"/>
            </w:tcBorders>
            <w:tcMar>
              <w:top w:w="20" w:type="dxa"/>
              <w:left w:w="20" w:type="dxa"/>
              <w:bottom w:w="100" w:type="dxa"/>
              <w:right w:w="20" w:type="dxa"/>
            </w:tcMar>
            <w:vAlign w:val="bottom"/>
          </w:tcPr>
          <w:p w14:paraId="0DCD2B0A" w14:textId="77777777" w:rsidR="00340A38" w:rsidRDefault="00000000">
            <w:pPr>
              <w:spacing w:after="0"/>
              <w:jc w:val="center"/>
              <w:rPr>
                <w:sz w:val="18"/>
                <w:szCs w:val="18"/>
              </w:rPr>
            </w:pPr>
            <w:r>
              <w:rPr>
                <w:sz w:val="18"/>
                <w:szCs w:val="18"/>
              </w:rPr>
              <w:t>-1.970699783</w:t>
            </w:r>
          </w:p>
        </w:tc>
      </w:tr>
      <w:tr w:rsidR="00340A38" w14:paraId="5E6ADBF4" w14:textId="77777777">
        <w:trPr>
          <w:cantSplit/>
          <w:trHeight w:val="450"/>
        </w:trPr>
        <w:tc>
          <w:tcPr>
            <w:tcW w:w="660" w:type="dxa"/>
            <w:tcBorders>
              <w:top w:val="nil"/>
              <w:left w:val="nil"/>
              <w:bottom w:val="nil"/>
              <w:right w:val="nil"/>
            </w:tcBorders>
            <w:tcMar>
              <w:top w:w="20" w:type="dxa"/>
              <w:left w:w="20" w:type="dxa"/>
              <w:bottom w:w="100" w:type="dxa"/>
              <w:right w:w="20" w:type="dxa"/>
            </w:tcMar>
          </w:tcPr>
          <w:p w14:paraId="6FC96085" w14:textId="77777777" w:rsidR="00340A38" w:rsidRDefault="00000000">
            <w:pPr>
              <w:spacing w:after="0"/>
              <w:jc w:val="center"/>
              <w:rPr>
                <w:sz w:val="18"/>
                <w:szCs w:val="18"/>
              </w:rPr>
            </w:pPr>
            <w:r>
              <w:rPr>
                <w:b/>
                <w:sz w:val="18"/>
                <w:szCs w:val="18"/>
              </w:rPr>
              <w:t>CTEN</w:t>
            </w:r>
          </w:p>
        </w:tc>
        <w:tc>
          <w:tcPr>
            <w:tcW w:w="1095" w:type="dxa"/>
            <w:tcBorders>
              <w:top w:val="nil"/>
              <w:left w:val="nil"/>
              <w:bottom w:val="nil"/>
              <w:right w:val="nil"/>
            </w:tcBorders>
            <w:tcMar>
              <w:top w:w="20" w:type="dxa"/>
              <w:left w:w="20" w:type="dxa"/>
              <w:bottom w:w="100" w:type="dxa"/>
              <w:right w:w="20" w:type="dxa"/>
            </w:tcMar>
            <w:vAlign w:val="bottom"/>
          </w:tcPr>
          <w:p w14:paraId="1B88CB99" w14:textId="77777777" w:rsidR="00340A38" w:rsidRDefault="00000000">
            <w:pPr>
              <w:spacing w:after="0"/>
              <w:jc w:val="center"/>
              <w:rPr>
                <w:sz w:val="18"/>
                <w:szCs w:val="18"/>
              </w:rPr>
            </w:pPr>
            <w:r>
              <w:rPr>
                <w:sz w:val="18"/>
                <w:szCs w:val="18"/>
              </w:rPr>
              <w:t>7405</w:t>
            </w:r>
          </w:p>
        </w:tc>
        <w:tc>
          <w:tcPr>
            <w:tcW w:w="1095" w:type="dxa"/>
            <w:tcBorders>
              <w:top w:val="nil"/>
              <w:left w:val="nil"/>
              <w:bottom w:val="nil"/>
              <w:right w:val="nil"/>
            </w:tcBorders>
            <w:tcMar>
              <w:top w:w="20" w:type="dxa"/>
              <w:left w:w="20" w:type="dxa"/>
              <w:bottom w:w="100" w:type="dxa"/>
              <w:right w:w="20" w:type="dxa"/>
            </w:tcMar>
            <w:vAlign w:val="bottom"/>
          </w:tcPr>
          <w:p w14:paraId="69F77B08" w14:textId="77777777" w:rsidR="00340A38" w:rsidRDefault="00000000">
            <w:pPr>
              <w:spacing w:after="0"/>
              <w:jc w:val="center"/>
              <w:rPr>
                <w:sz w:val="18"/>
                <w:szCs w:val="18"/>
              </w:rPr>
            </w:pPr>
            <w:r>
              <w:rPr>
                <w:sz w:val="18"/>
                <w:szCs w:val="18"/>
              </w:rPr>
              <w:t>1.68363702</w:t>
            </w:r>
          </w:p>
        </w:tc>
        <w:tc>
          <w:tcPr>
            <w:tcW w:w="1095" w:type="dxa"/>
            <w:tcBorders>
              <w:top w:val="nil"/>
              <w:left w:val="nil"/>
              <w:bottom w:val="nil"/>
              <w:right w:val="nil"/>
            </w:tcBorders>
            <w:tcMar>
              <w:top w:w="20" w:type="dxa"/>
              <w:left w:w="20" w:type="dxa"/>
              <w:bottom w:w="100" w:type="dxa"/>
              <w:right w:w="20" w:type="dxa"/>
            </w:tcMar>
            <w:vAlign w:val="bottom"/>
          </w:tcPr>
          <w:p w14:paraId="5637C290" w14:textId="77777777" w:rsidR="00340A38" w:rsidRDefault="00000000">
            <w:pPr>
              <w:spacing w:after="0"/>
              <w:jc w:val="center"/>
              <w:rPr>
                <w:sz w:val="18"/>
                <w:szCs w:val="18"/>
              </w:rPr>
            </w:pPr>
            <w:r>
              <w:rPr>
                <w:sz w:val="18"/>
                <w:szCs w:val="18"/>
              </w:rPr>
              <w:t>0.394742236</w:t>
            </w:r>
          </w:p>
        </w:tc>
        <w:tc>
          <w:tcPr>
            <w:tcW w:w="1095" w:type="dxa"/>
            <w:tcBorders>
              <w:top w:val="nil"/>
              <w:left w:val="nil"/>
              <w:bottom w:val="nil"/>
              <w:right w:val="nil"/>
            </w:tcBorders>
            <w:tcMar>
              <w:top w:w="20" w:type="dxa"/>
              <w:left w:w="20" w:type="dxa"/>
              <w:bottom w:w="100" w:type="dxa"/>
              <w:right w:w="20" w:type="dxa"/>
            </w:tcMar>
            <w:vAlign w:val="bottom"/>
          </w:tcPr>
          <w:p w14:paraId="342FF44A" w14:textId="77777777" w:rsidR="00340A38" w:rsidRDefault="00000000">
            <w:pPr>
              <w:spacing w:after="0"/>
              <w:jc w:val="center"/>
              <w:rPr>
                <w:sz w:val="18"/>
                <w:szCs w:val="18"/>
              </w:rPr>
            </w:pPr>
            <w:r>
              <w:rPr>
                <w:sz w:val="18"/>
                <w:szCs w:val="18"/>
              </w:rPr>
              <w:t>-0.301029996</w:t>
            </w:r>
          </w:p>
        </w:tc>
        <w:tc>
          <w:tcPr>
            <w:tcW w:w="1095" w:type="dxa"/>
            <w:tcBorders>
              <w:top w:val="nil"/>
              <w:left w:val="nil"/>
              <w:bottom w:val="nil"/>
              <w:right w:val="nil"/>
            </w:tcBorders>
            <w:tcMar>
              <w:top w:w="20" w:type="dxa"/>
              <w:left w:w="20" w:type="dxa"/>
              <w:bottom w:w="100" w:type="dxa"/>
              <w:right w:w="20" w:type="dxa"/>
            </w:tcMar>
            <w:vAlign w:val="bottom"/>
          </w:tcPr>
          <w:p w14:paraId="2EBB9CE4" w14:textId="77777777" w:rsidR="00340A38" w:rsidRDefault="00000000">
            <w:pPr>
              <w:spacing w:after="0"/>
              <w:jc w:val="center"/>
              <w:rPr>
                <w:sz w:val="18"/>
                <w:szCs w:val="18"/>
              </w:rPr>
            </w:pPr>
            <w:r>
              <w:rPr>
                <w:sz w:val="18"/>
                <w:szCs w:val="18"/>
              </w:rPr>
              <w:t>1.740362689</w:t>
            </w:r>
          </w:p>
        </w:tc>
        <w:tc>
          <w:tcPr>
            <w:tcW w:w="1095" w:type="dxa"/>
            <w:tcBorders>
              <w:top w:val="nil"/>
              <w:left w:val="nil"/>
              <w:bottom w:val="nil"/>
              <w:right w:val="nil"/>
            </w:tcBorders>
            <w:tcMar>
              <w:top w:w="20" w:type="dxa"/>
              <w:left w:w="20" w:type="dxa"/>
              <w:bottom w:w="100" w:type="dxa"/>
              <w:right w:w="20" w:type="dxa"/>
            </w:tcMar>
            <w:vAlign w:val="bottom"/>
          </w:tcPr>
          <w:p w14:paraId="6E7EA0C8" w14:textId="77777777" w:rsidR="00340A38" w:rsidRDefault="00000000">
            <w:pPr>
              <w:spacing w:after="0"/>
              <w:jc w:val="center"/>
              <w:rPr>
                <w:sz w:val="18"/>
                <w:szCs w:val="18"/>
              </w:rPr>
            </w:pPr>
            <w:r>
              <w:rPr>
                <w:sz w:val="18"/>
                <w:szCs w:val="18"/>
              </w:rPr>
              <w:t>2.394451681</w:t>
            </w:r>
          </w:p>
        </w:tc>
        <w:tc>
          <w:tcPr>
            <w:tcW w:w="1095" w:type="dxa"/>
            <w:tcBorders>
              <w:top w:val="nil"/>
              <w:left w:val="nil"/>
              <w:bottom w:val="nil"/>
              <w:right w:val="nil"/>
            </w:tcBorders>
            <w:tcMar>
              <w:top w:w="20" w:type="dxa"/>
              <w:left w:w="20" w:type="dxa"/>
              <w:bottom w:w="100" w:type="dxa"/>
              <w:right w:w="20" w:type="dxa"/>
            </w:tcMar>
            <w:vAlign w:val="bottom"/>
          </w:tcPr>
          <w:p w14:paraId="0AEAFD37" w14:textId="77777777" w:rsidR="00340A38" w:rsidRDefault="00000000">
            <w:pPr>
              <w:spacing w:after="0"/>
              <w:jc w:val="center"/>
              <w:rPr>
                <w:sz w:val="18"/>
                <w:szCs w:val="18"/>
              </w:rPr>
            </w:pPr>
            <w:r>
              <w:rPr>
                <w:sz w:val="18"/>
                <w:szCs w:val="18"/>
              </w:rPr>
              <w:t>-0.737177866</w:t>
            </w:r>
          </w:p>
        </w:tc>
        <w:tc>
          <w:tcPr>
            <w:tcW w:w="1095" w:type="dxa"/>
            <w:tcBorders>
              <w:top w:val="nil"/>
              <w:left w:val="nil"/>
              <w:bottom w:val="nil"/>
              <w:right w:val="nil"/>
            </w:tcBorders>
            <w:tcMar>
              <w:top w:w="20" w:type="dxa"/>
              <w:left w:w="20" w:type="dxa"/>
              <w:bottom w:w="100" w:type="dxa"/>
              <w:right w:w="20" w:type="dxa"/>
            </w:tcMar>
            <w:vAlign w:val="bottom"/>
          </w:tcPr>
          <w:p w14:paraId="7400D150" w14:textId="77777777" w:rsidR="00340A38" w:rsidRDefault="00000000">
            <w:pPr>
              <w:spacing w:after="0"/>
              <w:jc w:val="center"/>
              <w:rPr>
                <w:sz w:val="18"/>
                <w:szCs w:val="18"/>
              </w:rPr>
            </w:pPr>
            <w:r>
              <w:rPr>
                <w:sz w:val="18"/>
                <w:szCs w:val="18"/>
              </w:rPr>
              <w:t>0.59384123</w:t>
            </w:r>
          </w:p>
        </w:tc>
      </w:tr>
      <w:tr w:rsidR="00340A38" w14:paraId="07EC848F" w14:textId="77777777">
        <w:trPr>
          <w:cantSplit/>
          <w:trHeight w:val="450"/>
        </w:trPr>
        <w:tc>
          <w:tcPr>
            <w:tcW w:w="660" w:type="dxa"/>
            <w:tcBorders>
              <w:top w:val="nil"/>
              <w:left w:val="nil"/>
              <w:bottom w:val="nil"/>
              <w:right w:val="nil"/>
            </w:tcBorders>
            <w:tcMar>
              <w:top w:w="20" w:type="dxa"/>
              <w:left w:w="20" w:type="dxa"/>
              <w:bottom w:w="100" w:type="dxa"/>
              <w:right w:w="20" w:type="dxa"/>
            </w:tcMar>
          </w:tcPr>
          <w:p w14:paraId="4484FD14" w14:textId="77777777" w:rsidR="00340A38" w:rsidRDefault="00000000">
            <w:pPr>
              <w:spacing w:after="0"/>
              <w:jc w:val="center"/>
              <w:rPr>
                <w:sz w:val="18"/>
                <w:szCs w:val="18"/>
              </w:rPr>
            </w:pPr>
            <w:r>
              <w:rPr>
                <w:b/>
                <w:sz w:val="18"/>
                <w:szCs w:val="18"/>
              </w:rPr>
              <w:t>CDUA</w:t>
            </w:r>
          </w:p>
        </w:tc>
        <w:tc>
          <w:tcPr>
            <w:tcW w:w="1095" w:type="dxa"/>
            <w:tcBorders>
              <w:top w:val="nil"/>
              <w:left w:val="nil"/>
              <w:bottom w:val="nil"/>
              <w:right w:val="nil"/>
            </w:tcBorders>
            <w:tcMar>
              <w:top w:w="20" w:type="dxa"/>
              <w:left w:w="20" w:type="dxa"/>
              <w:bottom w:w="100" w:type="dxa"/>
              <w:right w:w="20" w:type="dxa"/>
            </w:tcMar>
            <w:vAlign w:val="bottom"/>
          </w:tcPr>
          <w:p w14:paraId="3CEDAF26" w14:textId="77777777" w:rsidR="00340A38" w:rsidRDefault="00000000">
            <w:pPr>
              <w:spacing w:after="0"/>
              <w:jc w:val="center"/>
              <w:rPr>
                <w:sz w:val="18"/>
                <w:szCs w:val="18"/>
              </w:rPr>
            </w:pPr>
            <w:r>
              <w:rPr>
                <w:sz w:val="18"/>
                <w:szCs w:val="18"/>
              </w:rPr>
              <w:t>7405</w:t>
            </w:r>
          </w:p>
        </w:tc>
        <w:tc>
          <w:tcPr>
            <w:tcW w:w="1095" w:type="dxa"/>
            <w:tcBorders>
              <w:top w:val="nil"/>
              <w:left w:val="nil"/>
              <w:bottom w:val="nil"/>
              <w:right w:val="nil"/>
            </w:tcBorders>
            <w:tcMar>
              <w:top w:w="20" w:type="dxa"/>
              <w:left w:w="20" w:type="dxa"/>
              <w:bottom w:w="100" w:type="dxa"/>
              <w:right w:w="20" w:type="dxa"/>
            </w:tcMar>
            <w:vAlign w:val="bottom"/>
          </w:tcPr>
          <w:p w14:paraId="05651834" w14:textId="77777777" w:rsidR="00340A38" w:rsidRDefault="00000000">
            <w:pPr>
              <w:spacing w:after="0"/>
              <w:jc w:val="center"/>
              <w:rPr>
                <w:sz w:val="18"/>
                <w:szCs w:val="18"/>
              </w:rPr>
            </w:pPr>
            <w:r>
              <w:rPr>
                <w:sz w:val="18"/>
                <w:szCs w:val="18"/>
              </w:rPr>
              <w:t>0.42812289</w:t>
            </w:r>
          </w:p>
        </w:tc>
        <w:tc>
          <w:tcPr>
            <w:tcW w:w="1095" w:type="dxa"/>
            <w:tcBorders>
              <w:top w:val="nil"/>
              <w:left w:val="nil"/>
              <w:bottom w:val="nil"/>
              <w:right w:val="nil"/>
            </w:tcBorders>
            <w:tcMar>
              <w:top w:w="20" w:type="dxa"/>
              <w:left w:w="20" w:type="dxa"/>
              <w:bottom w:w="100" w:type="dxa"/>
              <w:right w:w="20" w:type="dxa"/>
            </w:tcMar>
            <w:vAlign w:val="bottom"/>
          </w:tcPr>
          <w:p w14:paraId="125E3CBD" w14:textId="77777777" w:rsidR="00340A38" w:rsidRDefault="00000000">
            <w:pPr>
              <w:spacing w:after="0"/>
              <w:jc w:val="center"/>
              <w:rPr>
                <w:sz w:val="18"/>
                <w:szCs w:val="18"/>
              </w:rPr>
            </w:pPr>
            <w:r>
              <w:rPr>
                <w:sz w:val="18"/>
                <w:szCs w:val="18"/>
              </w:rPr>
              <w:t>0.480253077</w:t>
            </w:r>
          </w:p>
        </w:tc>
        <w:tc>
          <w:tcPr>
            <w:tcW w:w="1095" w:type="dxa"/>
            <w:tcBorders>
              <w:top w:val="nil"/>
              <w:left w:val="nil"/>
              <w:bottom w:val="nil"/>
              <w:right w:val="nil"/>
            </w:tcBorders>
            <w:tcMar>
              <w:top w:w="20" w:type="dxa"/>
              <w:left w:w="20" w:type="dxa"/>
              <w:bottom w:w="100" w:type="dxa"/>
              <w:right w:w="20" w:type="dxa"/>
            </w:tcMar>
            <w:vAlign w:val="bottom"/>
          </w:tcPr>
          <w:p w14:paraId="444CDAD4" w14:textId="77777777" w:rsidR="00340A38" w:rsidRDefault="00000000">
            <w:pPr>
              <w:spacing w:after="0"/>
              <w:jc w:val="center"/>
              <w:rPr>
                <w:sz w:val="18"/>
                <w:szCs w:val="18"/>
              </w:rPr>
            </w:pPr>
            <w:r>
              <w:rPr>
                <w:sz w:val="18"/>
                <w:szCs w:val="18"/>
              </w:rPr>
              <w:t>0</w:t>
            </w:r>
          </w:p>
        </w:tc>
        <w:tc>
          <w:tcPr>
            <w:tcW w:w="1095" w:type="dxa"/>
            <w:tcBorders>
              <w:top w:val="nil"/>
              <w:left w:val="nil"/>
              <w:bottom w:val="nil"/>
              <w:right w:val="nil"/>
            </w:tcBorders>
            <w:tcMar>
              <w:top w:w="20" w:type="dxa"/>
              <w:left w:w="20" w:type="dxa"/>
              <w:bottom w:w="100" w:type="dxa"/>
              <w:right w:w="20" w:type="dxa"/>
            </w:tcMar>
            <w:vAlign w:val="bottom"/>
          </w:tcPr>
          <w:p w14:paraId="5373CB62" w14:textId="77777777" w:rsidR="00340A38" w:rsidRDefault="00000000">
            <w:pPr>
              <w:spacing w:after="0"/>
              <w:jc w:val="center"/>
              <w:rPr>
                <w:sz w:val="18"/>
                <w:szCs w:val="18"/>
              </w:rPr>
            </w:pPr>
            <w:r>
              <w:rPr>
                <w:sz w:val="18"/>
                <w:szCs w:val="18"/>
              </w:rPr>
              <w:t>0</w:t>
            </w:r>
          </w:p>
        </w:tc>
        <w:tc>
          <w:tcPr>
            <w:tcW w:w="1095" w:type="dxa"/>
            <w:tcBorders>
              <w:top w:val="nil"/>
              <w:left w:val="nil"/>
              <w:bottom w:val="nil"/>
              <w:right w:val="nil"/>
            </w:tcBorders>
            <w:tcMar>
              <w:top w:w="20" w:type="dxa"/>
              <w:left w:w="20" w:type="dxa"/>
              <w:bottom w:w="100" w:type="dxa"/>
              <w:right w:w="20" w:type="dxa"/>
            </w:tcMar>
            <w:vAlign w:val="bottom"/>
          </w:tcPr>
          <w:p w14:paraId="1C4E5CAC" w14:textId="77777777" w:rsidR="00340A38" w:rsidRDefault="00000000">
            <w:pPr>
              <w:spacing w:after="0"/>
              <w:jc w:val="center"/>
              <w:rPr>
                <w:sz w:val="18"/>
                <w:szCs w:val="18"/>
              </w:rPr>
            </w:pPr>
            <w:r>
              <w:rPr>
                <w:sz w:val="18"/>
                <w:szCs w:val="18"/>
              </w:rPr>
              <w:t>1</w:t>
            </w:r>
          </w:p>
        </w:tc>
        <w:tc>
          <w:tcPr>
            <w:tcW w:w="1095" w:type="dxa"/>
            <w:tcBorders>
              <w:top w:val="nil"/>
              <w:left w:val="nil"/>
              <w:bottom w:val="nil"/>
              <w:right w:val="nil"/>
            </w:tcBorders>
            <w:tcMar>
              <w:top w:w="20" w:type="dxa"/>
              <w:left w:w="20" w:type="dxa"/>
              <w:bottom w:w="100" w:type="dxa"/>
              <w:right w:w="20" w:type="dxa"/>
            </w:tcMar>
            <w:vAlign w:val="bottom"/>
          </w:tcPr>
          <w:p w14:paraId="054605CF" w14:textId="77777777" w:rsidR="00340A38" w:rsidRDefault="00000000">
            <w:pPr>
              <w:spacing w:after="0"/>
              <w:jc w:val="center"/>
              <w:rPr>
                <w:sz w:val="18"/>
                <w:szCs w:val="18"/>
              </w:rPr>
            </w:pPr>
            <w:r>
              <w:rPr>
                <w:sz w:val="18"/>
                <w:szCs w:val="18"/>
              </w:rPr>
              <w:t>0.291163308</w:t>
            </w:r>
          </w:p>
        </w:tc>
        <w:tc>
          <w:tcPr>
            <w:tcW w:w="1095" w:type="dxa"/>
            <w:tcBorders>
              <w:top w:val="nil"/>
              <w:left w:val="nil"/>
              <w:bottom w:val="nil"/>
              <w:right w:val="nil"/>
            </w:tcBorders>
            <w:tcMar>
              <w:top w:w="20" w:type="dxa"/>
              <w:left w:w="20" w:type="dxa"/>
              <w:bottom w:w="100" w:type="dxa"/>
              <w:right w:w="20" w:type="dxa"/>
            </w:tcMar>
            <w:vAlign w:val="bottom"/>
          </w:tcPr>
          <w:p w14:paraId="6A598913" w14:textId="77777777" w:rsidR="00340A38" w:rsidRDefault="00000000">
            <w:pPr>
              <w:spacing w:after="0"/>
              <w:jc w:val="center"/>
              <w:rPr>
                <w:sz w:val="18"/>
                <w:szCs w:val="18"/>
              </w:rPr>
            </w:pPr>
            <w:r>
              <w:rPr>
                <w:sz w:val="18"/>
                <w:szCs w:val="18"/>
              </w:rPr>
              <w:t>-1.853369404</w:t>
            </w:r>
          </w:p>
        </w:tc>
      </w:tr>
      <w:tr w:rsidR="00340A38" w14:paraId="2C6635D1" w14:textId="77777777">
        <w:trPr>
          <w:cantSplit/>
          <w:trHeight w:val="450"/>
        </w:trPr>
        <w:tc>
          <w:tcPr>
            <w:tcW w:w="660" w:type="dxa"/>
            <w:tcBorders>
              <w:top w:val="nil"/>
              <w:left w:val="nil"/>
              <w:bottom w:val="nil"/>
              <w:right w:val="nil"/>
            </w:tcBorders>
            <w:tcMar>
              <w:top w:w="20" w:type="dxa"/>
              <w:left w:w="20" w:type="dxa"/>
              <w:bottom w:w="100" w:type="dxa"/>
              <w:right w:w="20" w:type="dxa"/>
            </w:tcMar>
          </w:tcPr>
          <w:p w14:paraId="17A60F95" w14:textId="77777777" w:rsidR="00340A38" w:rsidRDefault="00000000">
            <w:pPr>
              <w:spacing w:after="0"/>
              <w:jc w:val="center"/>
              <w:rPr>
                <w:sz w:val="18"/>
                <w:szCs w:val="18"/>
              </w:rPr>
            </w:pPr>
            <w:r>
              <w:rPr>
                <w:b/>
                <w:sz w:val="18"/>
                <w:szCs w:val="18"/>
              </w:rPr>
              <w:t>CSWP</w:t>
            </w:r>
          </w:p>
        </w:tc>
        <w:tc>
          <w:tcPr>
            <w:tcW w:w="1095" w:type="dxa"/>
            <w:tcBorders>
              <w:top w:val="nil"/>
              <w:left w:val="nil"/>
              <w:bottom w:val="nil"/>
              <w:right w:val="nil"/>
            </w:tcBorders>
            <w:tcMar>
              <w:top w:w="20" w:type="dxa"/>
              <w:left w:w="20" w:type="dxa"/>
              <w:bottom w:w="100" w:type="dxa"/>
              <w:right w:w="20" w:type="dxa"/>
            </w:tcMar>
            <w:vAlign w:val="bottom"/>
          </w:tcPr>
          <w:p w14:paraId="58B0925B" w14:textId="77777777" w:rsidR="00340A38" w:rsidRDefault="00000000">
            <w:pPr>
              <w:spacing w:after="0"/>
              <w:jc w:val="center"/>
              <w:rPr>
                <w:sz w:val="18"/>
                <w:szCs w:val="18"/>
              </w:rPr>
            </w:pPr>
            <w:r>
              <w:rPr>
                <w:sz w:val="18"/>
                <w:szCs w:val="18"/>
              </w:rPr>
              <w:t>7405</w:t>
            </w:r>
          </w:p>
        </w:tc>
        <w:tc>
          <w:tcPr>
            <w:tcW w:w="1095" w:type="dxa"/>
            <w:tcBorders>
              <w:top w:val="nil"/>
              <w:left w:val="nil"/>
              <w:bottom w:val="nil"/>
              <w:right w:val="nil"/>
            </w:tcBorders>
            <w:tcMar>
              <w:top w:w="20" w:type="dxa"/>
              <w:left w:w="20" w:type="dxa"/>
              <w:bottom w:w="100" w:type="dxa"/>
              <w:right w:w="20" w:type="dxa"/>
            </w:tcMar>
            <w:vAlign w:val="bottom"/>
          </w:tcPr>
          <w:p w14:paraId="08EB94FD" w14:textId="77777777" w:rsidR="00340A38" w:rsidRDefault="00000000">
            <w:pPr>
              <w:spacing w:after="0"/>
              <w:jc w:val="center"/>
              <w:rPr>
                <w:sz w:val="18"/>
                <w:szCs w:val="18"/>
              </w:rPr>
            </w:pPr>
            <w:r>
              <w:rPr>
                <w:sz w:val="18"/>
                <w:szCs w:val="18"/>
              </w:rPr>
              <w:t>0.132635607</w:t>
            </w:r>
          </w:p>
        </w:tc>
        <w:tc>
          <w:tcPr>
            <w:tcW w:w="1095" w:type="dxa"/>
            <w:tcBorders>
              <w:top w:val="nil"/>
              <w:left w:val="nil"/>
              <w:bottom w:val="nil"/>
              <w:right w:val="nil"/>
            </w:tcBorders>
            <w:tcMar>
              <w:top w:w="20" w:type="dxa"/>
              <w:left w:w="20" w:type="dxa"/>
              <w:bottom w:w="100" w:type="dxa"/>
              <w:right w:w="20" w:type="dxa"/>
            </w:tcMar>
            <w:vAlign w:val="bottom"/>
          </w:tcPr>
          <w:p w14:paraId="50BF5EEA" w14:textId="77777777" w:rsidR="00340A38" w:rsidRDefault="00000000">
            <w:pPr>
              <w:spacing w:after="0"/>
              <w:jc w:val="center"/>
              <w:rPr>
                <w:sz w:val="18"/>
                <w:szCs w:val="18"/>
              </w:rPr>
            </w:pPr>
            <w:r>
              <w:rPr>
                <w:sz w:val="18"/>
                <w:szCs w:val="18"/>
              </w:rPr>
              <w:t>0.334486515</w:t>
            </w:r>
          </w:p>
        </w:tc>
        <w:tc>
          <w:tcPr>
            <w:tcW w:w="1095" w:type="dxa"/>
            <w:tcBorders>
              <w:top w:val="nil"/>
              <w:left w:val="nil"/>
              <w:bottom w:val="nil"/>
              <w:right w:val="nil"/>
            </w:tcBorders>
            <w:tcMar>
              <w:top w:w="20" w:type="dxa"/>
              <w:left w:w="20" w:type="dxa"/>
              <w:bottom w:w="100" w:type="dxa"/>
              <w:right w:w="20" w:type="dxa"/>
            </w:tcMar>
            <w:vAlign w:val="bottom"/>
          </w:tcPr>
          <w:p w14:paraId="58A908E7" w14:textId="77777777" w:rsidR="00340A38" w:rsidRDefault="00000000">
            <w:pPr>
              <w:spacing w:after="0"/>
              <w:jc w:val="center"/>
              <w:rPr>
                <w:sz w:val="18"/>
                <w:szCs w:val="18"/>
              </w:rPr>
            </w:pPr>
            <w:r>
              <w:rPr>
                <w:sz w:val="18"/>
                <w:szCs w:val="18"/>
              </w:rPr>
              <w:t>0</w:t>
            </w:r>
          </w:p>
        </w:tc>
        <w:tc>
          <w:tcPr>
            <w:tcW w:w="1095" w:type="dxa"/>
            <w:tcBorders>
              <w:top w:val="nil"/>
              <w:left w:val="nil"/>
              <w:bottom w:val="nil"/>
              <w:right w:val="nil"/>
            </w:tcBorders>
            <w:tcMar>
              <w:top w:w="20" w:type="dxa"/>
              <w:left w:w="20" w:type="dxa"/>
              <w:bottom w:w="100" w:type="dxa"/>
              <w:right w:w="20" w:type="dxa"/>
            </w:tcMar>
            <w:vAlign w:val="bottom"/>
          </w:tcPr>
          <w:p w14:paraId="67C77436" w14:textId="77777777" w:rsidR="00340A38" w:rsidRDefault="00000000">
            <w:pPr>
              <w:spacing w:after="0"/>
              <w:jc w:val="center"/>
              <w:rPr>
                <w:sz w:val="18"/>
                <w:szCs w:val="18"/>
              </w:rPr>
            </w:pPr>
            <w:r>
              <w:rPr>
                <w:sz w:val="18"/>
                <w:szCs w:val="18"/>
              </w:rPr>
              <w:t>0</w:t>
            </w:r>
          </w:p>
        </w:tc>
        <w:tc>
          <w:tcPr>
            <w:tcW w:w="1095" w:type="dxa"/>
            <w:tcBorders>
              <w:top w:val="nil"/>
              <w:left w:val="nil"/>
              <w:bottom w:val="nil"/>
              <w:right w:val="nil"/>
            </w:tcBorders>
            <w:tcMar>
              <w:top w:w="20" w:type="dxa"/>
              <w:left w:w="20" w:type="dxa"/>
              <w:bottom w:w="100" w:type="dxa"/>
              <w:right w:w="20" w:type="dxa"/>
            </w:tcMar>
            <w:vAlign w:val="bottom"/>
          </w:tcPr>
          <w:p w14:paraId="69C223D7" w14:textId="77777777" w:rsidR="00340A38" w:rsidRDefault="00000000">
            <w:pPr>
              <w:spacing w:after="0"/>
              <w:jc w:val="center"/>
              <w:rPr>
                <w:sz w:val="18"/>
                <w:szCs w:val="18"/>
              </w:rPr>
            </w:pPr>
            <w:r>
              <w:rPr>
                <w:sz w:val="18"/>
                <w:szCs w:val="18"/>
              </w:rPr>
              <w:t>1</w:t>
            </w:r>
          </w:p>
        </w:tc>
        <w:tc>
          <w:tcPr>
            <w:tcW w:w="1095" w:type="dxa"/>
            <w:tcBorders>
              <w:top w:val="nil"/>
              <w:left w:val="nil"/>
              <w:bottom w:val="nil"/>
              <w:right w:val="nil"/>
            </w:tcBorders>
            <w:tcMar>
              <w:top w:w="20" w:type="dxa"/>
              <w:left w:w="20" w:type="dxa"/>
              <w:bottom w:w="100" w:type="dxa"/>
              <w:right w:w="20" w:type="dxa"/>
            </w:tcMar>
            <w:vAlign w:val="bottom"/>
          </w:tcPr>
          <w:p w14:paraId="57E5E258" w14:textId="77777777" w:rsidR="00340A38" w:rsidRDefault="00000000">
            <w:pPr>
              <w:spacing w:after="0"/>
              <w:jc w:val="center"/>
              <w:rPr>
                <w:sz w:val="18"/>
                <w:szCs w:val="18"/>
              </w:rPr>
            </w:pPr>
            <w:r>
              <w:rPr>
                <w:sz w:val="18"/>
                <w:szCs w:val="18"/>
              </w:rPr>
              <w:t>2.167047488</w:t>
            </w:r>
          </w:p>
        </w:tc>
        <w:tc>
          <w:tcPr>
            <w:tcW w:w="1095" w:type="dxa"/>
            <w:tcBorders>
              <w:top w:val="nil"/>
              <w:left w:val="nil"/>
              <w:bottom w:val="nil"/>
              <w:right w:val="nil"/>
            </w:tcBorders>
            <w:tcMar>
              <w:top w:w="20" w:type="dxa"/>
              <w:left w:w="20" w:type="dxa"/>
              <w:bottom w:w="100" w:type="dxa"/>
              <w:right w:w="20" w:type="dxa"/>
            </w:tcMar>
            <w:vAlign w:val="bottom"/>
          </w:tcPr>
          <w:p w14:paraId="292931BF" w14:textId="77777777" w:rsidR="00340A38" w:rsidRDefault="00000000">
            <w:pPr>
              <w:spacing w:after="0"/>
              <w:jc w:val="center"/>
              <w:rPr>
                <w:sz w:val="18"/>
                <w:szCs w:val="18"/>
              </w:rPr>
            </w:pPr>
            <w:r>
              <w:rPr>
                <w:sz w:val="18"/>
                <w:szCs w:val="18"/>
              </w:rPr>
              <w:t>2.758091647</w:t>
            </w:r>
          </w:p>
        </w:tc>
      </w:tr>
    </w:tbl>
    <w:p w14:paraId="682B6D10" w14:textId="77777777" w:rsidR="00340A38" w:rsidRDefault="00000000">
      <w:pPr>
        <w:spacing w:after="0"/>
        <w:rPr>
          <w:sz w:val="18"/>
          <w:szCs w:val="18"/>
        </w:rPr>
      </w:pPr>
      <w:r>
        <w:rPr>
          <w:b/>
          <w:sz w:val="18"/>
          <w:szCs w:val="18"/>
        </w:rPr>
        <w:t>Panel B: BOD Power</w:t>
      </w:r>
    </w:p>
    <w:tbl>
      <w:tblPr>
        <w:tblStyle w:val="a0"/>
        <w:tblW w:w="9450" w:type="dxa"/>
        <w:tblInd w:w="-105" w:type="dxa"/>
        <w:tblBorders>
          <w:top w:val="nil"/>
          <w:left w:val="nil"/>
          <w:bottom w:val="nil"/>
          <w:right w:val="nil"/>
          <w:insideH w:val="nil"/>
          <w:insideV w:val="nil"/>
        </w:tblBorders>
        <w:tblLayout w:type="fixed"/>
        <w:tblLook w:val="0600" w:firstRow="0" w:lastRow="0" w:firstColumn="0" w:lastColumn="0" w:noHBand="1" w:noVBand="1"/>
      </w:tblPr>
      <w:tblGrid>
        <w:gridCol w:w="930"/>
        <w:gridCol w:w="1065"/>
        <w:gridCol w:w="1065"/>
        <w:gridCol w:w="1065"/>
        <w:gridCol w:w="1065"/>
        <w:gridCol w:w="1065"/>
        <w:gridCol w:w="1065"/>
        <w:gridCol w:w="1065"/>
        <w:gridCol w:w="1065"/>
      </w:tblGrid>
      <w:tr w:rsidR="00340A38" w14:paraId="1BDE5742" w14:textId="77777777">
        <w:trPr>
          <w:cantSplit/>
          <w:trHeight w:val="430"/>
        </w:trPr>
        <w:tc>
          <w:tcPr>
            <w:tcW w:w="930" w:type="dxa"/>
            <w:tcBorders>
              <w:top w:val="nil"/>
              <w:left w:val="nil"/>
              <w:bottom w:val="single" w:sz="3" w:space="0" w:color="000000"/>
              <w:right w:val="nil"/>
            </w:tcBorders>
            <w:tcMar>
              <w:top w:w="20" w:type="dxa"/>
              <w:left w:w="20" w:type="dxa"/>
              <w:bottom w:w="100" w:type="dxa"/>
              <w:right w:w="20" w:type="dxa"/>
            </w:tcMar>
          </w:tcPr>
          <w:p w14:paraId="6503EC5B" w14:textId="77777777" w:rsidR="00340A38" w:rsidRDefault="00340A38">
            <w:pPr>
              <w:spacing w:after="0"/>
              <w:jc w:val="center"/>
              <w:rPr>
                <w:sz w:val="18"/>
                <w:szCs w:val="18"/>
              </w:rPr>
            </w:pPr>
          </w:p>
        </w:tc>
        <w:tc>
          <w:tcPr>
            <w:tcW w:w="1065" w:type="dxa"/>
            <w:tcBorders>
              <w:top w:val="nil"/>
              <w:left w:val="nil"/>
              <w:bottom w:val="nil"/>
              <w:right w:val="nil"/>
            </w:tcBorders>
            <w:tcMar>
              <w:top w:w="20" w:type="dxa"/>
              <w:left w:w="20" w:type="dxa"/>
              <w:bottom w:w="100" w:type="dxa"/>
              <w:right w:w="20" w:type="dxa"/>
            </w:tcMar>
          </w:tcPr>
          <w:p w14:paraId="628F4E53" w14:textId="77777777" w:rsidR="00340A38" w:rsidRDefault="00000000">
            <w:pPr>
              <w:spacing w:after="0"/>
              <w:jc w:val="center"/>
              <w:rPr>
                <w:sz w:val="18"/>
                <w:szCs w:val="18"/>
              </w:rPr>
            </w:pPr>
            <w:proofErr w:type="spellStart"/>
            <w:r>
              <w:rPr>
                <w:b/>
                <w:sz w:val="18"/>
                <w:szCs w:val="18"/>
              </w:rPr>
              <w:t>Obs</w:t>
            </w:r>
            <w:proofErr w:type="spellEnd"/>
          </w:p>
        </w:tc>
        <w:tc>
          <w:tcPr>
            <w:tcW w:w="1065" w:type="dxa"/>
            <w:tcBorders>
              <w:top w:val="nil"/>
              <w:left w:val="nil"/>
              <w:bottom w:val="single" w:sz="3" w:space="0" w:color="000000"/>
              <w:right w:val="nil"/>
            </w:tcBorders>
            <w:tcMar>
              <w:top w:w="20" w:type="dxa"/>
              <w:left w:w="20" w:type="dxa"/>
              <w:bottom w:w="100" w:type="dxa"/>
              <w:right w:w="20" w:type="dxa"/>
            </w:tcMar>
          </w:tcPr>
          <w:p w14:paraId="2EBCBC3E" w14:textId="77777777" w:rsidR="00340A38" w:rsidRDefault="00000000">
            <w:pPr>
              <w:spacing w:after="0"/>
              <w:jc w:val="center"/>
              <w:rPr>
                <w:sz w:val="18"/>
                <w:szCs w:val="18"/>
              </w:rPr>
            </w:pPr>
            <w:r>
              <w:rPr>
                <w:b/>
                <w:sz w:val="18"/>
                <w:szCs w:val="18"/>
              </w:rPr>
              <w:t>Mean</w:t>
            </w:r>
          </w:p>
        </w:tc>
        <w:tc>
          <w:tcPr>
            <w:tcW w:w="1065" w:type="dxa"/>
            <w:tcBorders>
              <w:top w:val="nil"/>
              <w:left w:val="nil"/>
              <w:bottom w:val="single" w:sz="3" w:space="0" w:color="000000"/>
              <w:right w:val="nil"/>
            </w:tcBorders>
            <w:tcMar>
              <w:top w:w="20" w:type="dxa"/>
              <w:left w:w="20" w:type="dxa"/>
              <w:bottom w:w="100" w:type="dxa"/>
              <w:right w:w="20" w:type="dxa"/>
            </w:tcMar>
          </w:tcPr>
          <w:p w14:paraId="198E5431" w14:textId="77777777" w:rsidR="00340A38" w:rsidRDefault="00000000">
            <w:pPr>
              <w:spacing w:after="0"/>
              <w:jc w:val="center"/>
              <w:rPr>
                <w:sz w:val="18"/>
                <w:szCs w:val="18"/>
              </w:rPr>
            </w:pPr>
            <w:r>
              <w:rPr>
                <w:b/>
                <w:sz w:val="18"/>
                <w:szCs w:val="18"/>
              </w:rPr>
              <w:t>Std</w:t>
            </w:r>
          </w:p>
        </w:tc>
        <w:tc>
          <w:tcPr>
            <w:tcW w:w="1065" w:type="dxa"/>
            <w:tcBorders>
              <w:top w:val="nil"/>
              <w:left w:val="nil"/>
              <w:bottom w:val="single" w:sz="3" w:space="0" w:color="000000"/>
              <w:right w:val="nil"/>
            </w:tcBorders>
            <w:tcMar>
              <w:top w:w="20" w:type="dxa"/>
              <w:left w:w="20" w:type="dxa"/>
              <w:bottom w:w="100" w:type="dxa"/>
              <w:right w:w="20" w:type="dxa"/>
            </w:tcMar>
          </w:tcPr>
          <w:p w14:paraId="0440A216" w14:textId="77777777" w:rsidR="00340A38" w:rsidRDefault="00000000">
            <w:pPr>
              <w:spacing w:after="0"/>
              <w:jc w:val="center"/>
              <w:rPr>
                <w:sz w:val="18"/>
                <w:szCs w:val="18"/>
              </w:rPr>
            </w:pPr>
            <w:r>
              <w:rPr>
                <w:b/>
                <w:sz w:val="18"/>
                <w:szCs w:val="18"/>
              </w:rPr>
              <w:t>Min</w:t>
            </w:r>
          </w:p>
        </w:tc>
        <w:tc>
          <w:tcPr>
            <w:tcW w:w="1065" w:type="dxa"/>
            <w:tcBorders>
              <w:top w:val="nil"/>
              <w:left w:val="nil"/>
              <w:bottom w:val="nil"/>
              <w:right w:val="nil"/>
            </w:tcBorders>
            <w:tcMar>
              <w:top w:w="20" w:type="dxa"/>
              <w:left w:w="20" w:type="dxa"/>
              <w:bottom w:w="100" w:type="dxa"/>
              <w:right w:w="20" w:type="dxa"/>
            </w:tcMar>
          </w:tcPr>
          <w:p w14:paraId="3E96E801" w14:textId="77777777" w:rsidR="00340A38" w:rsidRDefault="00000000">
            <w:pPr>
              <w:spacing w:after="0"/>
              <w:jc w:val="center"/>
              <w:rPr>
                <w:sz w:val="18"/>
                <w:szCs w:val="18"/>
              </w:rPr>
            </w:pPr>
            <w:r>
              <w:rPr>
                <w:b/>
                <w:sz w:val="18"/>
                <w:szCs w:val="18"/>
              </w:rPr>
              <w:t>Median</w:t>
            </w:r>
          </w:p>
        </w:tc>
        <w:tc>
          <w:tcPr>
            <w:tcW w:w="1065" w:type="dxa"/>
            <w:tcBorders>
              <w:top w:val="nil"/>
              <w:left w:val="nil"/>
              <w:bottom w:val="single" w:sz="3" w:space="0" w:color="000000"/>
              <w:right w:val="nil"/>
            </w:tcBorders>
            <w:tcMar>
              <w:top w:w="20" w:type="dxa"/>
              <w:left w:w="20" w:type="dxa"/>
              <w:bottom w:w="100" w:type="dxa"/>
              <w:right w:w="20" w:type="dxa"/>
            </w:tcMar>
          </w:tcPr>
          <w:p w14:paraId="3E4F492D" w14:textId="77777777" w:rsidR="00340A38" w:rsidRDefault="00000000">
            <w:pPr>
              <w:spacing w:after="0"/>
              <w:jc w:val="center"/>
              <w:rPr>
                <w:sz w:val="18"/>
                <w:szCs w:val="18"/>
              </w:rPr>
            </w:pPr>
            <w:r>
              <w:rPr>
                <w:b/>
                <w:sz w:val="18"/>
                <w:szCs w:val="18"/>
              </w:rPr>
              <w:t>Max</w:t>
            </w:r>
          </w:p>
        </w:tc>
        <w:tc>
          <w:tcPr>
            <w:tcW w:w="1065" w:type="dxa"/>
            <w:tcBorders>
              <w:top w:val="nil"/>
              <w:left w:val="nil"/>
              <w:bottom w:val="single" w:sz="3" w:space="0" w:color="000000"/>
              <w:right w:val="nil"/>
            </w:tcBorders>
            <w:tcMar>
              <w:top w:w="20" w:type="dxa"/>
              <w:left w:w="20" w:type="dxa"/>
              <w:bottom w:w="100" w:type="dxa"/>
              <w:right w:w="20" w:type="dxa"/>
            </w:tcMar>
          </w:tcPr>
          <w:p w14:paraId="02B722E3" w14:textId="77777777" w:rsidR="00340A38" w:rsidRDefault="00000000">
            <w:pPr>
              <w:spacing w:after="0"/>
              <w:jc w:val="center"/>
              <w:rPr>
                <w:sz w:val="18"/>
                <w:szCs w:val="18"/>
              </w:rPr>
            </w:pPr>
            <w:r>
              <w:rPr>
                <w:b/>
                <w:sz w:val="18"/>
                <w:szCs w:val="18"/>
              </w:rPr>
              <w:t>Skewness</w:t>
            </w:r>
          </w:p>
        </w:tc>
        <w:tc>
          <w:tcPr>
            <w:tcW w:w="1065" w:type="dxa"/>
            <w:tcBorders>
              <w:top w:val="nil"/>
              <w:left w:val="nil"/>
              <w:bottom w:val="single" w:sz="4" w:space="0" w:color="000000"/>
              <w:right w:val="nil"/>
            </w:tcBorders>
            <w:tcMar>
              <w:top w:w="20" w:type="dxa"/>
              <w:left w:w="20" w:type="dxa"/>
              <w:bottom w:w="100" w:type="dxa"/>
              <w:right w:w="20" w:type="dxa"/>
            </w:tcMar>
          </w:tcPr>
          <w:p w14:paraId="46C20248" w14:textId="77777777" w:rsidR="00340A38" w:rsidRDefault="00000000">
            <w:pPr>
              <w:spacing w:after="0"/>
              <w:jc w:val="center"/>
              <w:rPr>
                <w:sz w:val="18"/>
                <w:szCs w:val="18"/>
              </w:rPr>
            </w:pPr>
            <w:r>
              <w:rPr>
                <w:b/>
                <w:sz w:val="18"/>
                <w:szCs w:val="18"/>
              </w:rPr>
              <w:t>Kurtosis</w:t>
            </w:r>
          </w:p>
        </w:tc>
      </w:tr>
      <w:tr w:rsidR="00340A38" w14:paraId="2F01D0D3" w14:textId="77777777">
        <w:trPr>
          <w:cantSplit/>
          <w:trHeight w:val="430"/>
        </w:trPr>
        <w:tc>
          <w:tcPr>
            <w:tcW w:w="930" w:type="dxa"/>
            <w:tcBorders>
              <w:top w:val="nil"/>
              <w:left w:val="nil"/>
              <w:bottom w:val="nil"/>
              <w:right w:val="nil"/>
            </w:tcBorders>
            <w:tcMar>
              <w:top w:w="20" w:type="dxa"/>
              <w:left w:w="20" w:type="dxa"/>
              <w:bottom w:w="100" w:type="dxa"/>
              <w:right w:w="20" w:type="dxa"/>
            </w:tcMar>
          </w:tcPr>
          <w:p w14:paraId="3BC633F4" w14:textId="77777777" w:rsidR="00340A38" w:rsidRDefault="00000000">
            <w:pPr>
              <w:spacing w:after="0"/>
              <w:jc w:val="center"/>
              <w:rPr>
                <w:sz w:val="18"/>
                <w:szCs w:val="18"/>
              </w:rPr>
            </w:pPr>
            <w:r>
              <w:rPr>
                <w:b/>
                <w:sz w:val="18"/>
                <w:szCs w:val="18"/>
              </w:rPr>
              <w:t>BDN</w:t>
            </w:r>
          </w:p>
        </w:tc>
        <w:tc>
          <w:tcPr>
            <w:tcW w:w="1065" w:type="dxa"/>
            <w:tcBorders>
              <w:top w:val="single" w:sz="3" w:space="0" w:color="000000"/>
              <w:left w:val="nil"/>
              <w:bottom w:val="nil"/>
              <w:right w:val="nil"/>
            </w:tcBorders>
            <w:tcMar>
              <w:top w:w="20" w:type="dxa"/>
              <w:left w:w="20" w:type="dxa"/>
              <w:bottom w:w="100" w:type="dxa"/>
              <w:right w:w="20" w:type="dxa"/>
            </w:tcMar>
            <w:vAlign w:val="bottom"/>
          </w:tcPr>
          <w:p w14:paraId="3DC3DB3A" w14:textId="77777777" w:rsidR="00340A38" w:rsidRDefault="00000000">
            <w:pPr>
              <w:spacing w:after="0"/>
              <w:jc w:val="center"/>
              <w:rPr>
                <w:sz w:val="18"/>
                <w:szCs w:val="18"/>
              </w:rPr>
            </w:pPr>
            <w:r>
              <w:rPr>
                <w:sz w:val="18"/>
                <w:szCs w:val="18"/>
              </w:rPr>
              <w:t>7405</w:t>
            </w:r>
          </w:p>
        </w:tc>
        <w:tc>
          <w:tcPr>
            <w:tcW w:w="1065" w:type="dxa"/>
            <w:tcBorders>
              <w:top w:val="nil"/>
              <w:left w:val="nil"/>
              <w:bottom w:val="nil"/>
              <w:right w:val="nil"/>
            </w:tcBorders>
            <w:tcMar>
              <w:top w:w="20" w:type="dxa"/>
              <w:left w:w="20" w:type="dxa"/>
              <w:bottom w:w="100" w:type="dxa"/>
              <w:right w:w="20" w:type="dxa"/>
            </w:tcMar>
            <w:vAlign w:val="bottom"/>
          </w:tcPr>
          <w:p w14:paraId="1DBE13C5" w14:textId="77777777" w:rsidR="00340A38" w:rsidRDefault="00000000">
            <w:pPr>
              <w:spacing w:after="0"/>
              <w:jc w:val="center"/>
              <w:rPr>
                <w:sz w:val="18"/>
                <w:szCs w:val="18"/>
              </w:rPr>
            </w:pPr>
            <w:r>
              <w:rPr>
                <w:sz w:val="18"/>
                <w:szCs w:val="18"/>
              </w:rPr>
              <w:t>8.795813639</w:t>
            </w:r>
          </w:p>
        </w:tc>
        <w:tc>
          <w:tcPr>
            <w:tcW w:w="1065" w:type="dxa"/>
            <w:tcBorders>
              <w:top w:val="nil"/>
              <w:left w:val="nil"/>
              <w:bottom w:val="nil"/>
              <w:right w:val="nil"/>
            </w:tcBorders>
            <w:tcMar>
              <w:top w:w="20" w:type="dxa"/>
              <w:left w:w="20" w:type="dxa"/>
              <w:bottom w:w="100" w:type="dxa"/>
              <w:right w:w="20" w:type="dxa"/>
            </w:tcMar>
            <w:vAlign w:val="bottom"/>
          </w:tcPr>
          <w:p w14:paraId="20091BEC" w14:textId="77777777" w:rsidR="00340A38" w:rsidRDefault="00000000">
            <w:pPr>
              <w:spacing w:after="0"/>
              <w:jc w:val="center"/>
              <w:rPr>
                <w:sz w:val="18"/>
                <w:szCs w:val="18"/>
              </w:rPr>
            </w:pPr>
            <w:r>
              <w:rPr>
                <w:sz w:val="18"/>
                <w:szCs w:val="18"/>
              </w:rPr>
              <w:t>1.749556949</w:t>
            </w:r>
          </w:p>
        </w:tc>
        <w:tc>
          <w:tcPr>
            <w:tcW w:w="1065" w:type="dxa"/>
            <w:tcBorders>
              <w:top w:val="nil"/>
              <w:left w:val="nil"/>
              <w:bottom w:val="nil"/>
              <w:right w:val="nil"/>
            </w:tcBorders>
            <w:tcMar>
              <w:top w:w="20" w:type="dxa"/>
              <w:left w:w="20" w:type="dxa"/>
              <w:bottom w:w="100" w:type="dxa"/>
              <w:right w:w="20" w:type="dxa"/>
            </w:tcMar>
            <w:vAlign w:val="bottom"/>
          </w:tcPr>
          <w:p w14:paraId="1880FEC9" w14:textId="77777777" w:rsidR="00340A38" w:rsidRDefault="00000000">
            <w:pPr>
              <w:spacing w:after="0"/>
              <w:jc w:val="center"/>
              <w:rPr>
                <w:sz w:val="18"/>
                <w:szCs w:val="18"/>
              </w:rPr>
            </w:pPr>
            <w:r>
              <w:rPr>
                <w:sz w:val="18"/>
                <w:szCs w:val="18"/>
              </w:rPr>
              <w:t>0</w:t>
            </w:r>
          </w:p>
        </w:tc>
        <w:tc>
          <w:tcPr>
            <w:tcW w:w="1065" w:type="dxa"/>
            <w:tcBorders>
              <w:top w:val="single" w:sz="3" w:space="0" w:color="000000"/>
              <w:left w:val="nil"/>
              <w:bottom w:val="nil"/>
              <w:right w:val="nil"/>
            </w:tcBorders>
            <w:tcMar>
              <w:top w:w="20" w:type="dxa"/>
              <w:left w:w="20" w:type="dxa"/>
              <w:bottom w:w="100" w:type="dxa"/>
              <w:right w:w="20" w:type="dxa"/>
            </w:tcMar>
            <w:vAlign w:val="bottom"/>
          </w:tcPr>
          <w:p w14:paraId="27BB1487" w14:textId="77777777" w:rsidR="00340A38" w:rsidRDefault="00000000">
            <w:pPr>
              <w:spacing w:after="0"/>
              <w:jc w:val="center"/>
              <w:rPr>
                <w:sz w:val="18"/>
                <w:szCs w:val="18"/>
              </w:rPr>
            </w:pPr>
            <w:r>
              <w:rPr>
                <w:sz w:val="18"/>
                <w:szCs w:val="18"/>
              </w:rPr>
              <w:t>9</w:t>
            </w:r>
          </w:p>
        </w:tc>
        <w:tc>
          <w:tcPr>
            <w:tcW w:w="1065" w:type="dxa"/>
            <w:tcBorders>
              <w:top w:val="nil"/>
              <w:left w:val="nil"/>
              <w:bottom w:val="nil"/>
              <w:right w:val="nil"/>
            </w:tcBorders>
            <w:tcMar>
              <w:top w:w="20" w:type="dxa"/>
              <w:left w:w="20" w:type="dxa"/>
              <w:bottom w:w="100" w:type="dxa"/>
              <w:right w:w="20" w:type="dxa"/>
            </w:tcMar>
            <w:vAlign w:val="bottom"/>
          </w:tcPr>
          <w:p w14:paraId="4F0F38AA" w14:textId="77777777" w:rsidR="00340A38" w:rsidRDefault="00000000">
            <w:pPr>
              <w:spacing w:after="0"/>
              <w:jc w:val="center"/>
              <w:rPr>
                <w:sz w:val="18"/>
                <w:szCs w:val="18"/>
              </w:rPr>
            </w:pPr>
            <w:r>
              <w:rPr>
                <w:sz w:val="18"/>
                <w:szCs w:val="18"/>
              </w:rPr>
              <w:t>18</w:t>
            </w:r>
          </w:p>
        </w:tc>
        <w:tc>
          <w:tcPr>
            <w:tcW w:w="1065" w:type="dxa"/>
            <w:tcBorders>
              <w:top w:val="nil"/>
              <w:left w:val="nil"/>
              <w:bottom w:val="nil"/>
              <w:right w:val="nil"/>
            </w:tcBorders>
            <w:tcMar>
              <w:top w:w="20" w:type="dxa"/>
              <w:left w:w="20" w:type="dxa"/>
              <w:bottom w:w="100" w:type="dxa"/>
              <w:right w:w="20" w:type="dxa"/>
            </w:tcMar>
            <w:vAlign w:val="bottom"/>
          </w:tcPr>
          <w:p w14:paraId="15FD9F63" w14:textId="77777777" w:rsidR="00340A38" w:rsidRDefault="00000000">
            <w:pPr>
              <w:spacing w:after="0"/>
              <w:jc w:val="center"/>
              <w:rPr>
                <w:sz w:val="18"/>
                <w:szCs w:val="18"/>
              </w:rPr>
            </w:pPr>
            <w:r>
              <w:rPr>
                <w:sz w:val="18"/>
                <w:szCs w:val="18"/>
              </w:rPr>
              <w:t>0.868255653</w:t>
            </w:r>
          </w:p>
        </w:tc>
        <w:tc>
          <w:tcPr>
            <w:tcW w:w="1065" w:type="dxa"/>
            <w:tcBorders>
              <w:top w:val="single" w:sz="4" w:space="0" w:color="000000"/>
              <w:left w:val="nil"/>
              <w:bottom w:val="nil"/>
              <w:right w:val="nil"/>
            </w:tcBorders>
            <w:tcMar>
              <w:top w:w="20" w:type="dxa"/>
              <w:left w:w="20" w:type="dxa"/>
              <w:bottom w:w="100" w:type="dxa"/>
              <w:right w:w="20" w:type="dxa"/>
            </w:tcMar>
            <w:vAlign w:val="bottom"/>
          </w:tcPr>
          <w:p w14:paraId="3DD85356" w14:textId="77777777" w:rsidR="00340A38" w:rsidRDefault="00000000">
            <w:pPr>
              <w:spacing w:after="0"/>
              <w:jc w:val="center"/>
              <w:rPr>
                <w:sz w:val="18"/>
                <w:szCs w:val="18"/>
              </w:rPr>
            </w:pPr>
            <w:r>
              <w:rPr>
                <w:sz w:val="18"/>
                <w:szCs w:val="18"/>
              </w:rPr>
              <w:t>2.831182441</w:t>
            </w:r>
          </w:p>
        </w:tc>
      </w:tr>
      <w:tr w:rsidR="00340A38" w14:paraId="731BD5C2" w14:textId="77777777">
        <w:trPr>
          <w:cantSplit/>
          <w:trHeight w:val="430"/>
        </w:trPr>
        <w:tc>
          <w:tcPr>
            <w:tcW w:w="930" w:type="dxa"/>
            <w:tcBorders>
              <w:top w:val="nil"/>
              <w:left w:val="nil"/>
              <w:bottom w:val="nil"/>
              <w:right w:val="nil"/>
            </w:tcBorders>
            <w:tcMar>
              <w:top w:w="20" w:type="dxa"/>
              <w:left w:w="20" w:type="dxa"/>
              <w:bottom w:w="100" w:type="dxa"/>
              <w:right w:w="20" w:type="dxa"/>
            </w:tcMar>
          </w:tcPr>
          <w:p w14:paraId="73B50C89" w14:textId="77777777" w:rsidR="00340A38" w:rsidRDefault="00000000">
            <w:pPr>
              <w:spacing w:after="0"/>
              <w:jc w:val="center"/>
              <w:rPr>
                <w:sz w:val="18"/>
                <w:szCs w:val="18"/>
              </w:rPr>
            </w:pPr>
            <w:r>
              <w:rPr>
                <w:b/>
                <w:sz w:val="18"/>
                <w:szCs w:val="18"/>
              </w:rPr>
              <w:t>BIND</w:t>
            </w:r>
          </w:p>
        </w:tc>
        <w:tc>
          <w:tcPr>
            <w:tcW w:w="1065" w:type="dxa"/>
            <w:tcBorders>
              <w:top w:val="nil"/>
              <w:left w:val="nil"/>
              <w:bottom w:val="nil"/>
              <w:right w:val="nil"/>
            </w:tcBorders>
            <w:tcMar>
              <w:top w:w="20" w:type="dxa"/>
              <w:left w:w="20" w:type="dxa"/>
              <w:bottom w:w="100" w:type="dxa"/>
              <w:right w:w="20" w:type="dxa"/>
            </w:tcMar>
            <w:vAlign w:val="bottom"/>
          </w:tcPr>
          <w:p w14:paraId="03AED477" w14:textId="77777777" w:rsidR="00340A38" w:rsidRDefault="00000000">
            <w:pPr>
              <w:spacing w:after="0"/>
              <w:jc w:val="center"/>
              <w:rPr>
                <w:sz w:val="18"/>
                <w:szCs w:val="18"/>
              </w:rPr>
            </w:pPr>
            <w:r>
              <w:rPr>
                <w:sz w:val="18"/>
                <w:szCs w:val="18"/>
              </w:rPr>
              <w:t>7405</w:t>
            </w:r>
          </w:p>
        </w:tc>
        <w:tc>
          <w:tcPr>
            <w:tcW w:w="1065" w:type="dxa"/>
            <w:tcBorders>
              <w:top w:val="nil"/>
              <w:left w:val="nil"/>
              <w:bottom w:val="nil"/>
              <w:right w:val="nil"/>
            </w:tcBorders>
            <w:tcMar>
              <w:top w:w="20" w:type="dxa"/>
              <w:left w:w="20" w:type="dxa"/>
              <w:bottom w:w="100" w:type="dxa"/>
              <w:right w:w="20" w:type="dxa"/>
            </w:tcMar>
            <w:vAlign w:val="bottom"/>
          </w:tcPr>
          <w:p w14:paraId="651993E6" w14:textId="77777777" w:rsidR="00340A38" w:rsidRDefault="00000000">
            <w:pPr>
              <w:spacing w:after="0"/>
              <w:jc w:val="center"/>
              <w:rPr>
                <w:sz w:val="18"/>
                <w:szCs w:val="18"/>
              </w:rPr>
            </w:pPr>
            <w:r>
              <w:rPr>
                <w:sz w:val="18"/>
                <w:szCs w:val="18"/>
              </w:rPr>
              <w:t>0.37269299</w:t>
            </w:r>
          </w:p>
        </w:tc>
        <w:tc>
          <w:tcPr>
            <w:tcW w:w="1065" w:type="dxa"/>
            <w:tcBorders>
              <w:top w:val="nil"/>
              <w:left w:val="nil"/>
              <w:bottom w:val="nil"/>
              <w:right w:val="nil"/>
            </w:tcBorders>
            <w:tcMar>
              <w:top w:w="20" w:type="dxa"/>
              <w:left w:w="20" w:type="dxa"/>
              <w:bottom w:w="100" w:type="dxa"/>
              <w:right w:w="20" w:type="dxa"/>
            </w:tcMar>
            <w:vAlign w:val="bottom"/>
          </w:tcPr>
          <w:p w14:paraId="214BC103" w14:textId="77777777" w:rsidR="00340A38" w:rsidRDefault="00000000">
            <w:pPr>
              <w:spacing w:after="0"/>
              <w:jc w:val="center"/>
              <w:rPr>
                <w:sz w:val="18"/>
                <w:szCs w:val="18"/>
              </w:rPr>
            </w:pPr>
            <w:r>
              <w:rPr>
                <w:sz w:val="18"/>
                <w:szCs w:val="18"/>
              </w:rPr>
              <w:t>0.056562367</w:t>
            </w:r>
          </w:p>
        </w:tc>
        <w:tc>
          <w:tcPr>
            <w:tcW w:w="1065" w:type="dxa"/>
            <w:tcBorders>
              <w:top w:val="nil"/>
              <w:left w:val="nil"/>
              <w:bottom w:val="nil"/>
              <w:right w:val="nil"/>
            </w:tcBorders>
            <w:tcMar>
              <w:top w:w="20" w:type="dxa"/>
              <w:left w:w="20" w:type="dxa"/>
              <w:bottom w:w="100" w:type="dxa"/>
              <w:right w:w="20" w:type="dxa"/>
            </w:tcMar>
            <w:vAlign w:val="bottom"/>
          </w:tcPr>
          <w:p w14:paraId="72385D7D" w14:textId="77777777" w:rsidR="00340A38" w:rsidRDefault="00000000">
            <w:pPr>
              <w:spacing w:after="0"/>
              <w:jc w:val="center"/>
              <w:rPr>
                <w:sz w:val="18"/>
                <w:szCs w:val="18"/>
              </w:rPr>
            </w:pPr>
            <w:r>
              <w:rPr>
                <w:sz w:val="18"/>
                <w:szCs w:val="18"/>
              </w:rPr>
              <w:t>0</w:t>
            </w:r>
          </w:p>
        </w:tc>
        <w:tc>
          <w:tcPr>
            <w:tcW w:w="1065" w:type="dxa"/>
            <w:tcBorders>
              <w:top w:val="nil"/>
              <w:left w:val="nil"/>
              <w:bottom w:val="nil"/>
              <w:right w:val="nil"/>
            </w:tcBorders>
            <w:tcMar>
              <w:top w:w="20" w:type="dxa"/>
              <w:left w:w="20" w:type="dxa"/>
              <w:bottom w:w="100" w:type="dxa"/>
              <w:right w:w="20" w:type="dxa"/>
            </w:tcMar>
            <w:vAlign w:val="bottom"/>
          </w:tcPr>
          <w:p w14:paraId="77677699" w14:textId="77777777" w:rsidR="00340A38" w:rsidRDefault="00000000">
            <w:pPr>
              <w:spacing w:after="0"/>
              <w:jc w:val="center"/>
              <w:rPr>
                <w:sz w:val="18"/>
                <w:szCs w:val="18"/>
              </w:rPr>
            </w:pPr>
            <w:r>
              <w:rPr>
                <w:sz w:val="18"/>
                <w:szCs w:val="18"/>
              </w:rPr>
              <w:t>0.3333333</w:t>
            </w:r>
          </w:p>
        </w:tc>
        <w:tc>
          <w:tcPr>
            <w:tcW w:w="1065" w:type="dxa"/>
            <w:tcBorders>
              <w:top w:val="nil"/>
              <w:left w:val="nil"/>
              <w:bottom w:val="nil"/>
              <w:right w:val="nil"/>
            </w:tcBorders>
            <w:tcMar>
              <w:top w:w="20" w:type="dxa"/>
              <w:left w:w="20" w:type="dxa"/>
              <w:bottom w:w="100" w:type="dxa"/>
              <w:right w:w="20" w:type="dxa"/>
            </w:tcMar>
            <w:vAlign w:val="bottom"/>
          </w:tcPr>
          <w:p w14:paraId="573DC4E4" w14:textId="77777777" w:rsidR="00340A38" w:rsidRDefault="00000000">
            <w:pPr>
              <w:spacing w:after="0"/>
              <w:jc w:val="center"/>
              <w:rPr>
                <w:sz w:val="18"/>
                <w:szCs w:val="18"/>
              </w:rPr>
            </w:pPr>
            <w:r>
              <w:rPr>
                <w:sz w:val="18"/>
                <w:szCs w:val="18"/>
              </w:rPr>
              <w:t>0.8</w:t>
            </w:r>
          </w:p>
        </w:tc>
        <w:tc>
          <w:tcPr>
            <w:tcW w:w="1065" w:type="dxa"/>
            <w:tcBorders>
              <w:top w:val="nil"/>
              <w:left w:val="nil"/>
              <w:bottom w:val="nil"/>
              <w:right w:val="nil"/>
            </w:tcBorders>
            <w:tcMar>
              <w:top w:w="20" w:type="dxa"/>
              <w:left w:w="20" w:type="dxa"/>
              <w:bottom w:w="100" w:type="dxa"/>
              <w:right w:w="20" w:type="dxa"/>
            </w:tcMar>
            <w:vAlign w:val="bottom"/>
          </w:tcPr>
          <w:p w14:paraId="77B73BA9" w14:textId="77777777" w:rsidR="00340A38" w:rsidRDefault="00000000">
            <w:pPr>
              <w:spacing w:after="0"/>
              <w:jc w:val="center"/>
              <w:rPr>
                <w:sz w:val="18"/>
                <w:szCs w:val="18"/>
              </w:rPr>
            </w:pPr>
            <w:r>
              <w:rPr>
                <w:sz w:val="18"/>
                <w:szCs w:val="18"/>
              </w:rPr>
              <w:t>1.697758324</w:t>
            </w:r>
          </w:p>
        </w:tc>
        <w:tc>
          <w:tcPr>
            <w:tcW w:w="1065" w:type="dxa"/>
            <w:tcBorders>
              <w:top w:val="nil"/>
              <w:left w:val="nil"/>
              <w:bottom w:val="nil"/>
              <w:right w:val="nil"/>
            </w:tcBorders>
            <w:tcMar>
              <w:top w:w="20" w:type="dxa"/>
              <w:left w:w="20" w:type="dxa"/>
              <w:bottom w:w="100" w:type="dxa"/>
              <w:right w:w="20" w:type="dxa"/>
            </w:tcMar>
            <w:vAlign w:val="bottom"/>
          </w:tcPr>
          <w:p w14:paraId="4B78C49F" w14:textId="77777777" w:rsidR="00340A38" w:rsidRDefault="00000000">
            <w:pPr>
              <w:spacing w:after="0"/>
              <w:jc w:val="center"/>
              <w:rPr>
                <w:sz w:val="18"/>
                <w:szCs w:val="18"/>
              </w:rPr>
            </w:pPr>
            <w:r>
              <w:rPr>
                <w:sz w:val="18"/>
                <w:szCs w:val="18"/>
              </w:rPr>
              <w:t>4.465254211</w:t>
            </w:r>
          </w:p>
        </w:tc>
      </w:tr>
      <w:tr w:rsidR="00340A38" w14:paraId="2A5D54F0" w14:textId="77777777">
        <w:trPr>
          <w:cantSplit/>
          <w:trHeight w:val="430"/>
        </w:trPr>
        <w:tc>
          <w:tcPr>
            <w:tcW w:w="930" w:type="dxa"/>
            <w:tcBorders>
              <w:top w:val="nil"/>
              <w:left w:val="nil"/>
              <w:bottom w:val="nil"/>
              <w:right w:val="nil"/>
            </w:tcBorders>
            <w:tcMar>
              <w:top w:w="20" w:type="dxa"/>
              <w:left w:w="20" w:type="dxa"/>
              <w:bottom w:w="100" w:type="dxa"/>
              <w:right w:w="20" w:type="dxa"/>
            </w:tcMar>
          </w:tcPr>
          <w:p w14:paraId="0DE4770E" w14:textId="77777777" w:rsidR="00340A38" w:rsidRDefault="00000000">
            <w:pPr>
              <w:spacing w:after="0"/>
              <w:jc w:val="center"/>
              <w:rPr>
                <w:sz w:val="18"/>
                <w:szCs w:val="18"/>
              </w:rPr>
            </w:pPr>
            <w:r>
              <w:rPr>
                <w:b/>
                <w:sz w:val="18"/>
                <w:szCs w:val="18"/>
              </w:rPr>
              <w:t>BSWP</w:t>
            </w:r>
          </w:p>
        </w:tc>
        <w:tc>
          <w:tcPr>
            <w:tcW w:w="1065" w:type="dxa"/>
            <w:tcBorders>
              <w:top w:val="nil"/>
              <w:left w:val="nil"/>
              <w:bottom w:val="nil"/>
              <w:right w:val="nil"/>
            </w:tcBorders>
            <w:tcMar>
              <w:top w:w="20" w:type="dxa"/>
              <w:left w:w="20" w:type="dxa"/>
              <w:bottom w:w="100" w:type="dxa"/>
              <w:right w:w="20" w:type="dxa"/>
            </w:tcMar>
            <w:vAlign w:val="bottom"/>
          </w:tcPr>
          <w:p w14:paraId="10B80611" w14:textId="77777777" w:rsidR="00340A38" w:rsidRDefault="00000000">
            <w:pPr>
              <w:spacing w:after="0"/>
              <w:jc w:val="center"/>
              <w:rPr>
                <w:sz w:val="18"/>
                <w:szCs w:val="18"/>
              </w:rPr>
            </w:pPr>
            <w:r>
              <w:rPr>
                <w:sz w:val="18"/>
                <w:szCs w:val="18"/>
              </w:rPr>
              <w:t>7405</w:t>
            </w:r>
          </w:p>
        </w:tc>
        <w:tc>
          <w:tcPr>
            <w:tcW w:w="1065" w:type="dxa"/>
            <w:tcBorders>
              <w:top w:val="nil"/>
              <w:left w:val="nil"/>
              <w:bottom w:val="nil"/>
              <w:right w:val="nil"/>
            </w:tcBorders>
            <w:tcMar>
              <w:top w:w="20" w:type="dxa"/>
              <w:left w:w="20" w:type="dxa"/>
              <w:bottom w:w="100" w:type="dxa"/>
              <w:right w:w="20" w:type="dxa"/>
            </w:tcMar>
            <w:vAlign w:val="bottom"/>
          </w:tcPr>
          <w:p w14:paraId="7ECD7391" w14:textId="77777777" w:rsidR="00340A38" w:rsidRDefault="00000000">
            <w:pPr>
              <w:spacing w:after="0"/>
              <w:jc w:val="center"/>
              <w:rPr>
                <w:sz w:val="18"/>
                <w:szCs w:val="18"/>
              </w:rPr>
            </w:pPr>
            <w:r>
              <w:rPr>
                <w:sz w:val="18"/>
                <w:szCs w:val="18"/>
              </w:rPr>
              <w:t>0.298311951</w:t>
            </w:r>
          </w:p>
        </w:tc>
        <w:tc>
          <w:tcPr>
            <w:tcW w:w="1065" w:type="dxa"/>
            <w:tcBorders>
              <w:top w:val="nil"/>
              <w:left w:val="nil"/>
              <w:bottom w:val="nil"/>
              <w:right w:val="nil"/>
            </w:tcBorders>
            <w:tcMar>
              <w:top w:w="20" w:type="dxa"/>
              <w:left w:w="20" w:type="dxa"/>
              <w:bottom w:w="100" w:type="dxa"/>
              <w:right w:w="20" w:type="dxa"/>
            </w:tcMar>
            <w:vAlign w:val="bottom"/>
          </w:tcPr>
          <w:p w14:paraId="2AD78720" w14:textId="77777777" w:rsidR="00340A38" w:rsidRDefault="00000000">
            <w:pPr>
              <w:spacing w:after="0"/>
              <w:jc w:val="center"/>
              <w:rPr>
                <w:sz w:val="18"/>
                <w:szCs w:val="18"/>
              </w:rPr>
            </w:pPr>
            <w:r>
              <w:rPr>
                <w:sz w:val="18"/>
                <w:szCs w:val="18"/>
              </w:rPr>
              <w:t>0.457548033</w:t>
            </w:r>
          </w:p>
        </w:tc>
        <w:tc>
          <w:tcPr>
            <w:tcW w:w="1065" w:type="dxa"/>
            <w:tcBorders>
              <w:top w:val="nil"/>
              <w:left w:val="nil"/>
              <w:bottom w:val="nil"/>
              <w:right w:val="nil"/>
            </w:tcBorders>
            <w:tcMar>
              <w:top w:w="20" w:type="dxa"/>
              <w:left w:w="20" w:type="dxa"/>
              <w:bottom w:w="100" w:type="dxa"/>
              <w:right w:w="20" w:type="dxa"/>
            </w:tcMar>
            <w:vAlign w:val="bottom"/>
          </w:tcPr>
          <w:p w14:paraId="29679D6F" w14:textId="77777777" w:rsidR="00340A38" w:rsidRDefault="00000000">
            <w:pPr>
              <w:spacing w:after="0"/>
              <w:jc w:val="center"/>
              <w:rPr>
                <w:sz w:val="18"/>
                <w:szCs w:val="18"/>
              </w:rPr>
            </w:pPr>
            <w:r>
              <w:rPr>
                <w:sz w:val="18"/>
                <w:szCs w:val="18"/>
              </w:rPr>
              <w:t>0</w:t>
            </w:r>
          </w:p>
        </w:tc>
        <w:tc>
          <w:tcPr>
            <w:tcW w:w="1065" w:type="dxa"/>
            <w:tcBorders>
              <w:top w:val="nil"/>
              <w:left w:val="nil"/>
              <w:bottom w:val="nil"/>
              <w:right w:val="nil"/>
            </w:tcBorders>
            <w:tcMar>
              <w:top w:w="20" w:type="dxa"/>
              <w:left w:w="20" w:type="dxa"/>
              <w:bottom w:w="100" w:type="dxa"/>
              <w:right w:w="20" w:type="dxa"/>
            </w:tcMar>
            <w:vAlign w:val="bottom"/>
          </w:tcPr>
          <w:p w14:paraId="070F77C1" w14:textId="77777777" w:rsidR="00340A38" w:rsidRDefault="00000000">
            <w:pPr>
              <w:spacing w:after="0"/>
              <w:jc w:val="center"/>
              <w:rPr>
                <w:sz w:val="18"/>
                <w:szCs w:val="18"/>
              </w:rPr>
            </w:pPr>
            <w:r>
              <w:rPr>
                <w:sz w:val="18"/>
                <w:szCs w:val="18"/>
              </w:rPr>
              <w:t>0</w:t>
            </w:r>
          </w:p>
        </w:tc>
        <w:tc>
          <w:tcPr>
            <w:tcW w:w="1065" w:type="dxa"/>
            <w:tcBorders>
              <w:top w:val="nil"/>
              <w:left w:val="nil"/>
              <w:bottom w:val="nil"/>
              <w:right w:val="nil"/>
            </w:tcBorders>
            <w:tcMar>
              <w:top w:w="20" w:type="dxa"/>
              <w:left w:w="20" w:type="dxa"/>
              <w:bottom w:w="100" w:type="dxa"/>
              <w:right w:w="20" w:type="dxa"/>
            </w:tcMar>
            <w:vAlign w:val="bottom"/>
          </w:tcPr>
          <w:p w14:paraId="7771E513" w14:textId="77777777" w:rsidR="00340A38" w:rsidRDefault="00000000">
            <w:pPr>
              <w:spacing w:after="0"/>
              <w:jc w:val="center"/>
              <w:rPr>
                <w:sz w:val="18"/>
                <w:szCs w:val="18"/>
              </w:rPr>
            </w:pPr>
            <w:r>
              <w:rPr>
                <w:sz w:val="18"/>
                <w:szCs w:val="18"/>
              </w:rPr>
              <w:t>1</w:t>
            </w:r>
          </w:p>
        </w:tc>
        <w:tc>
          <w:tcPr>
            <w:tcW w:w="1065" w:type="dxa"/>
            <w:tcBorders>
              <w:top w:val="nil"/>
              <w:left w:val="nil"/>
              <w:bottom w:val="nil"/>
              <w:right w:val="nil"/>
            </w:tcBorders>
            <w:tcMar>
              <w:top w:w="20" w:type="dxa"/>
              <w:left w:w="20" w:type="dxa"/>
              <w:bottom w:w="100" w:type="dxa"/>
              <w:right w:w="20" w:type="dxa"/>
            </w:tcMar>
            <w:vAlign w:val="bottom"/>
          </w:tcPr>
          <w:p w14:paraId="676E126B" w14:textId="77777777" w:rsidR="00340A38" w:rsidRDefault="00000000">
            <w:pPr>
              <w:spacing w:after="0"/>
              <w:jc w:val="center"/>
              <w:rPr>
                <w:sz w:val="18"/>
                <w:szCs w:val="18"/>
              </w:rPr>
            </w:pPr>
            <w:r>
              <w:rPr>
                <w:sz w:val="18"/>
                <w:szCs w:val="18"/>
              </w:rPr>
              <w:t>0.881842002</w:t>
            </w:r>
          </w:p>
        </w:tc>
        <w:tc>
          <w:tcPr>
            <w:tcW w:w="1065" w:type="dxa"/>
            <w:tcBorders>
              <w:top w:val="nil"/>
              <w:left w:val="nil"/>
              <w:bottom w:val="nil"/>
              <w:right w:val="nil"/>
            </w:tcBorders>
            <w:tcMar>
              <w:top w:w="20" w:type="dxa"/>
              <w:left w:w="20" w:type="dxa"/>
              <w:bottom w:w="100" w:type="dxa"/>
              <w:right w:w="20" w:type="dxa"/>
            </w:tcMar>
            <w:vAlign w:val="bottom"/>
          </w:tcPr>
          <w:p w14:paraId="04C59121" w14:textId="77777777" w:rsidR="00340A38" w:rsidRDefault="00000000">
            <w:pPr>
              <w:spacing w:after="0"/>
              <w:jc w:val="center"/>
              <w:rPr>
                <w:sz w:val="18"/>
                <w:szCs w:val="18"/>
              </w:rPr>
            </w:pPr>
            <w:r>
              <w:rPr>
                <w:sz w:val="18"/>
                <w:szCs w:val="18"/>
              </w:rPr>
              <w:t>-1.222684988</w:t>
            </w:r>
          </w:p>
        </w:tc>
      </w:tr>
    </w:tbl>
    <w:p w14:paraId="59904CA2" w14:textId="77777777" w:rsidR="00340A38" w:rsidRDefault="00000000">
      <w:pPr>
        <w:spacing w:after="0"/>
      </w:pPr>
      <w:r>
        <w:rPr>
          <w:b/>
          <w:sz w:val="18"/>
          <w:szCs w:val="18"/>
        </w:rPr>
        <w:t>Panel C: Institutional Investor Power</w:t>
      </w:r>
    </w:p>
    <w:tbl>
      <w:tblPr>
        <w:tblStyle w:val="a1"/>
        <w:tblW w:w="9480" w:type="dxa"/>
        <w:tblBorders>
          <w:top w:val="nil"/>
          <w:left w:val="nil"/>
          <w:bottom w:val="nil"/>
          <w:right w:val="nil"/>
          <w:insideH w:val="nil"/>
          <w:insideV w:val="nil"/>
        </w:tblBorders>
        <w:tblLayout w:type="fixed"/>
        <w:tblLook w:val="0600" w:firstRow="0" w:lastRow="0" w:firstColumn="0" w:lastColumn="0" w:noHBand="1" w:noVBand="1"/>
      </w:tblPr>
      <w:tblGrid>
        <w:gridCol w:w="1065"/>
        <w:gridCol w:w="1065"/>
        <w:gridCol w:w="1050"/>
        <w:gridCol w:w="1050"/>
        <w:gridCol w:w="1050"/>
        <w:gridCol w:w="1050"/>
        <w:gridCol w:w="1050"/>
        <w:gridCol w:w="1050"/>
        <w:gridCol w:w="1050"/>
      </w:tblGrid>
      <w:tr w:rsidR="00340A38" w14:paraId="703CDF04" w14:textId="77777777">
        <w:trPr>
          <w:cantSplit/>
          <w:trHeight w:val="430"/>
        </w:trPr>
        <w:tc>
          <w:tcPr>
            <w:tcW w:w="1065" w:type="dxa"/>
            <w:tcBorders>
              <w:top w:val="nil"/>
              <w:left w:val="nil"/>
              <w:bottom w:val="single" w:sz="3" w:space="0" w:color="000000"/>
              <w:right w:val="nil"/>
            </w:tcBorders>
            <w:tcMar>
              <w:top w:w="20" w:type="dxa"/>
              <w:left w:w="20" w:type="dxa"/>
              <w:bottom w:w="100" w:type="dxa"/>
              <w:right w:w="20" w:type="dxa"/>
            </w:tcMar>
          </w:tcPr>
          <w:p w14:paraId="0FD8CDB4" w14:textId="77777777" w:rsidR="00340A38" w:rsidRDefault="00340A38">
            <w:pPr>
              <w:spacing w:after="0"/>
              <w:jc w:val="center"/>
              <w:rPr>
                <w:sz w:val="18"/>
                <w:szCs w:val="18"/>
              </w:rPr>
            </w:pPr>
          </w:p>
        </w:tc>
        <w:tc>
          <w:tcPr>
            <w:tcW w:w="1065" w:type="dxa"/>
            <w:tcBorders>
              <w:top w:val="nil"/>
              <w:left w:val="nil"/>
              <w:bottom w:val="single" w:sz="3" w:space="0" w:color="000000"/>
              <w:right w:val="nil"/>
            </w:tcBorders>
            <w:tcMar>
              <w:top w:w="20" w:type="dxa"/>
              <w:left w:w="20" w:type="dxa"/>
              <w:bottom w:w="100" w:type="dxa"/>
              <w:right w:w="20" w:type="dxa"/>
            </w:tcMar>
          </w:tcPr>
          <w:p w14:paraId="0B58269F" w14:textId="77777777" w:rsidR="00340A38" w:rsidRDefault="00000000">
            <w:pPr>
              <w:spacing w:after="0"/>
              <w:jc w:val="center"/>
              <w:rPr>
                <w:sz w:val="18"/>
                <w:szCs w:val="18"/>
              </w:rPr>
            </w:pPr>
            <w:proofErr w:type="spellStart"/>
            <w:r>
              <w:rPr>
                <w:b/>
                <w:sz w:val="18"/>
                <w:szCs w:val="18"/>
              </w:rPr>
              <w:t>Obs</w:t>
            </w:r>
            <w:proofErr w:type="spellEnd"/>
          </w:p>
        </w:tc>
        <w:tc>
          <w:tcPr>
            <w:tcW w:w="1050" w:type="dxa"/>
            <w:tcBorders>
              <w:top w:val="nil"/>
              <w:left w:val="nil"/>
              <w:bottom w:val="single" w:sz="3" w:space="0" w:color="000000"/>
              <w:right w:val="nil"/>
            </w:tcBorders>
            <w:tcMar>
              <w:top w:w="20" w:type="dxa"/>
              <w:left w:w="20" w:type="dxa"/>
              <w:bottom w:w="100" w:type="dxa"/>
              <w:right w:w="20" w:type="dxa"/>
            </w:tcMar>
          </w:tcPr>
          <w:p w14:paraId="4FCE4607" w14:textId="77777777" w:rsidR="00340A38" w:rsidRDefault="00000000">
            <w:pPr>
              <w:spacing w:after="0"/>
              <w:jc w:val="center"/>
              <w:rPr>
                <w:sz w:val="18"/>
                <w:szCs w:val="18"/>
              </w:rPr>
            </w:pPr>
            <w:r>
              <w:rPr>
                <w:b/>
                <w:sz w:val="18"/>
                <w:szCs w:val="18"/>
              </w:rPr>
              <w:t>Mean</w:t>
            </w:r>
          </w:p>
        </w:tc>
        <w:tc>
          <w:tcPr>
            <w:tcW w:w="1050" w:type="dxa"/>
            <w:tcBorders>
              <w:top w:val="nil"/>
              <w:left w:val="nil"/>
              <w:bottom w:val="single" w:sz="3" w:space="0" w:color="000000"/>
              <w:right w:val="nil"/>
            </w:tcBorders>
            <w:tcMar>
              <w:top w:w="20" w:type="dxa"/>
              <w:left w:w="20" w:type="dxa"/>
              <w:bottom w:w="100" w:type="dxa"/>
              <w:right w:w="20" w:type="dxa"/>
            </w:tcMar>
          </w:tcPr>
          <w:p w14:paraId="37615116" w14:textId="77777777" w:rsidR="00340A38" w:rsidRDefault="00000000">
            <w:pPr>
              <w:spacing w:after="0"/>
              <w:jc w:val="center"/>
              <w:rPr>
                <w:sz w:val="18"/>
                <w:szCs w:val="18"/>
              </w:rPr>
            </w:pPr>
            <w:r>
              <w:rPr>
                <w:b/>
                <w:sz w:val="18"/>
                <w:szCs w:val="18"/>
              </w:rPr>
              <w:t>Std</w:t>
            </w:r>
          </w:p>
        </w:tc>
        <w:tc>
          <w:tcPr>
            <w:tcW w:w="1050" w:type="dxa"/>
            <w:tcBorders>
              <w:top w:val="nil"/>
              <w:left w:val="nil"/>
              <w:bottom w:val="single" w:sz="3" w:space="0" w:color="000000"/>
              <w:right w:val="nil"/>
            </w:tcBorders>
            <w:tcMar>
              <w:top w:w="20" w:type="dxa"/>
              <w:left w:w="20" w:type="dxa"/>
              <w:bottom w:w="100" w:type="dxa"/>
              <w:right w:w="20" w:type="dxa"/>
            </w:tcMar>
          </w:tcPr>
          <w:p w14:paraId="2B708AF7" w14:textId="77777777" w:rsidR="00340A38" w:rsidRDefault="00000000">
            <w:pPr>
              <w:spacing w:after="0"/>
              <w:jc w:val="center"/>
              <w:rPr>
                <w:sz w:val="18"/>
                <w:szCs w:val="18"/>
              </w:rPr>
            </w:pPr>
            <w:r>
              <w:rPr>
                <w:b/>
                <w:sz w:val="18"/>
                <w:szCs w:val="18"/>
              </w:rPr>
              <w:t>Min</w:t>
            </w:r>
          </w:p>
        </w:tc>
        <w:tc>
          <w:tcPr>
            <w:tcW w:w="1050" w:type="dxa"/>
            <w:tcBorders>
              <w:top w:val="nil"/>
              <w:left w:val="nil"/>
              <w:bottom w:val="single" w:sz="3" w:space="0" w:color="000000"/>
              <w:right w:val="nil"/>
            </w:tcBorders>
            <w:tcMar>
              <w:top w:w="20" w:type="dxa"/>
              <w:left w:w="20" w:type="dxa"/>
              <w:bottom w:w="100" w:type="dxa"/>
              <w:right w:w="20" w:type="dxa"/>
            </w:tcMar>
          </w:tcPr>
          <w:p w14:paraId="178FF4A2" w14:textId="77777777" w:rsidR="00340A38" w:rsidRDefault="00000000">
            <w:pPr>
              <w:spacing w:after="0"/>
              <w:jc w:val="center"/>
              <w:rPr>
                <w:sz w:val="18"/>
                <w:szCs w:val="18"/>
              </w:rPr>
            </w:pPr>
            <w:r>
              <w:rPr>
                <w:b/>
                <w:sz w:val="18"/>
                <w:szCs w:val="18"/>
              </w:rPr>
              <w:t>Median</w:t>
            </w:r>
          </w:p>
        </w:tc>
        <w:tc>
          <w:tcPr>
            <w:tcW w:w="1050" w:type="dxa"/>
            <w:tcBorders>
              <w:top w:val="nil"/>
              <w:left w:val="nil"/>
              <w:bottom w:val="single" w:sz="3" w:space="0" w:color="000000"/>
              <w:right w:val="nil"/>
            </w:tcBorders>
            <w:tcMar>
              <w:top w:w="20" w:type="dxa"/>
              <w:left w:w="20" w:type="dxa"/>
              <w:bottom w:w="100" w:type="dxa"/>
              <w:right w:w="20" w:type="dxa"/>
            </w:tcMar>
          </w:tcPr>
          <w:p w14:paraId="08A8A899" w14:textId="77777777" w:rsidR="00340A38" w:rsidRDefault="00000000">
            <w:pPr>
              <w:spacing w:after="0"/>
              <w:jc w:val="center"/>
              <w:rPr>
                <w:sz w:val="18"/>
                <w:szCs w:val="18"/>
              </w:rPr>
            </w:pPr>
            <w:r>
              <w:rPr>
                <w:b/>
                <w:sz w:val="18"/>
                <w:szCs w:val="18"/>
              </w:rPr>
              <w:t>Max</w:t>
            </w:r>
          </w:p>
        </w:tc>
        <w:tc>
          <w:tcPr>
            <w:tcW w:w="1050" w:type="dxa"/>
            <w:tcBorders>
              <w:top w:val="nil"/>
              <w:left w:val="nil"/>
              <w:bottom w:val="single" w:sz="3" w:space="0" w:color="000000"/>
              <w:right w:val="nil"/>
            </w:tcBorders>
            <w:tcMar>
              <w:top w:w="20" w:type="dxa"/>
              <w:left w:w="20" w:type="dxa"/>
              <w:bottom w:w="100" w:type="dxa"/>
              <w:right w:w="20" w:type="dxa"/>
            </w:tcMar>
          </w:tcPr>
          <w:p w14:paraId="49589C78" w14:textId="77777777" w:rsidR="00340A38" w:rsidRDefault="00000000">
            <w:pPr>
              <w:spacing w:after="0"/>
              <w:jc w:val="center"/>
              <w:rPr>
                <w:sz w:val="18"/>
                <w:szCs w:val="18"/>
              </w:rPr>
            </w:pPr>
            <w:r>
              <w:rPr>
                <w:b/>
                <w:sz w:val="18"/>
                <w:szCs w:val="18"/>
              </w:rPr>
              <w:t>Skewness</w:t>
            </w:r>
          </w:p>
        </w:tc>
        <w:tc>
          <w:tcPr>
            <w:tcW w:w="1050" w:type="dxa"/>
            <w:tcBorders>
              <w:top w:val="nil"/>
              <w:left w:val="nil"/>
              <w:bottom w:val="single" w:sz="3" w:space="0" w:color="000000"/>
              <w:right w:val="nil"/>
            </w:tcBorders>
            <w:tcMar>
              <w:top w:w="20" w:type="dxa"/>
              <w:left w:w="20" w:type="dxa"/>
              <w:bottom w:w="100" w:type="dxa"/>
              <w:right w:w="20" w:type="dxa"/>
            </w:tcMar>
          </w:tcPr>
          <w:p w14:paraId="67778BD9" w14:textId="77777777" w:rsidR="00340A38" w:rsidRDefault="00000000">
            <w:pPr>
              <w:spacing w:after="0"/>
              <w:jc w:val="center"/>
              <w:rPr>
                <w:sz w:val="18"/>
                <w:szCs w:val="18"/>
              </w:rPr>
            </w:pPr>
            <w:r>
              <w:rPr>
                <w:b/>
                <w:sz w:val="18"/>
                <w:szCs w:val="18"/>
              </w:rPr>
              <w:t>Kurtosis</w:t>
            </w:r>
          </w:p>
        </w:tc>
      </w:tr>
      <w:tr w:rsidR="00340A38" w14:paraId="7FC0C808" w14:textId="77777777">
        <w:trPr>
          <w:cantSplit/>
          <w:trHeight w:val="430"/>
        </w:trPr>
        <w:tc>
          <w:tcPr>
            <w:tcW w:w="1065" w:type="dxa"/>
            <w:tcBorders>
              <w:top w:val="nil"/>
              <w:left w:val="nil"/>
              <w:bottom w:val="nil"/>
              <w:right w:val="nil"/>
            </w:tcBorders>
            <w:tcMar>
              <w:top w:w="20" w:type="dxa"/>
              <w:left w:w="20" w:type="dxa"/>
              <w:bottom w:w="100" w:type="dxa"/>
              <w:right w:w="20" w:type="dxa"/>
            </w:tcMar>
          </w:tcPr>
          <w:p w14:paraId="6A449ED3" w14:textId="77777777" w:rsidR="00340A38" w:rsidRDefault="00000000">
            <w:pPr>
              <w:spacing w:after="0"/>
              <w:jc w:val="center"/>
              <w:rPr>
                <w:b/>
                <w:sz w:val="18"/>
                <w:szCs w:val="18"/>
              </w:rPr>
            </w:pPr>
            <w:r>
              <w:rPr>
                <w:b/>
                <w:sz w:val="18"/>
                <w:szCs w:val="18"/>
              </w:rPr>
              <w:t>IACT</w:t>
            </w:r>
          </w:p>
        </w:tc>
        <w:tc>
          <w:tcPr>
            <w:tcW w:w="1065" w:type="dxa"/>
            <w:tcBorders>
              <w:top w:val="nil"/>
              <w:left w:val="nil"/>
              <w:bottom w:val="nil"/>
              <w:right w:val="nil"/>
            </w:tcBorders>
            <w:tcMar>
              <w:top w:w="20" w:type="dxa"/>
              <w:left w:w="20" w:type="dxa"/>
              <w:bottom w:w="100" w:type="dxa"/>
              <w:right w:w="20" w:type="dxa"/>
            </w:tcMar>
            <w:vAlign w:val="bottom"/>
          </w:tcPr>
          <w:p w14:paraId="658E06F3" w14:textId="77777777" w:rsidR="00340A38" w:rsidRDefault="00000000">
            <w:pPr>
              <w:spacing w:after="0"/>
              <w:jc w:val="center"/>
              <w:rPr>
                <w:sz w:val="18"/>
                <w:szCs w:val="18"/>
              </w:rPr>
            </w:pPr>
            <w:r>
              <w:rPr>
                <w:sz w:val="18"/>
                <w:szCs w:val="18"/>
              </w:rPr>
              <w:t>7405</w:t>
            </w:r>
          </w:p>
        </w:tc>
        <w:tc>
          <w:tcPr>
            <w:tcW w:w="1050" w:type="dxa"/>
            <w:tcBorders>
              <w:top w:val="nil"/>
              <w:left w:val="nil"/>
              <w:bottom w:val="nil"/>
              <w:right w:val="nil"/>
            </w:tcBorders>
            <w:tcMar>
              <w:top w:w="20" w:type="dxa"/>
              <w:left w:w="20" w:type="dxa"/>
              <w:bottom w:w="100" w:type="dxa"/>
              <w:right w:w="20" w:type="dxa"/>
            </w:tcMar>
            <w:vAlign w:val="bottom"/>
          </w:tcPr>
          <w:p w14:paraId="14AD939D" w14:textId="77777777" w:rsidR="00340A38" w:rsidRDefault="00000000">
            <w:pPr>
              <w:spacing w:after="0"/>
              <w:jc w:val="center"/>
              <w:rPr>
                <w:sz w:val="18"/>
                <w:szCs w:val="18"/>
              </w:rPr>
            </w:pPr>
            <w:r>
              <w:rPr>
                <w:sz w:val="18"/>
                <w:szCs w:val="18"/>
              </w:rPr>
              <w:t>0.94201771</w:t>
            </w:r>
          </w:p>
        </w:tc>
        <w:tc>
          <w:tcPr>
            <w:tcW w:w="1050" w:type="dxa"/>
            <w:tcBorders>
              <w:top w:val="nil"/>
              <w:left w:val="nil"/>
              <w:bottom w:val="nil"/>
              <w:right w:val="nil"/>
            </w:tcBorders>
            <w:tcMar>
              <w:top w:w="20" w:type="dxa"/>
              <w:left w:w="20" w:type="dxa"/>
              <w:bottom w:w="100" w:type="dxa"/>
              <w:right w:w="20" w:type="dxa"/>
            </w:tcMar>
            <w:vAlign w:val="bottom"/>
          </w:tcPr>
          <w:p w14:paraId="6204A0C3" w14:textId="77777777" w:rsidR="00340A38" w:rsidRDefault="00000000">
            <w:pPr>
              <w:spacing w:after="0"/>
              <w:jc w:val="center"/>
              <w:rPr>
                <w:sz w:val="18"/>
                <w:szCs w:val="18"/>
              </w:rPr>
            </w:pPr>
            <w:r>
              <w:rPr>
                <w:sz w:val="18"/>
                <w:szCs w:val="18"/>
              </w:rPr>
              <w:t>0.088692083</w:t>
            </w:r>
          </w:p>
        </w:tc>
        <w:tc>
          <w:tcPr>
            <w:tcW w:w="1050" w:type="dxa"/>
            <w:tcBorders>
              <w:top w:val="nil"/>
              <w:left w:val="nil"/>
              <w:bottom w:val="nil"/>
              <w:right w:val="nil"/>
            </w:tcBorders>
            <w:tcMar>
              <w:top w:w="20" w:type="dxa"/>
              <w:left w:w="20" w:type="dxa"/>
              <w:bottom w:w="100" w:type="dxa"/>
              <w:right w:w="20" w:type="dxa"/>
            </w:tcMar>
            <w:vAlign w:val="bottom"/>
          </w:tcPr>
          <w:p w14:paraId="6698318E" w14:textId="77777777" w:rsidR="00340A38" w:rsidRDefault="00000000">
            <w:pPr>
              <w:spacing w:after="0"/>
              <w:jc w:val="center"/>
              <w:rPr>
                <w:sz w:val="18"/>
                <w:szCs w:val="18"/>
              </w:rPr>
            </w:pPr>
            <w:r>
              <w:rPr>
                <w:sz w:val="18"/>
                <w:szCs w:val="18"/>
              </w:rPr>
              <w:t>0.129962</w:t>
            </w:r>
          </w:p>
        </w:tc>
        <w:tc>
          <w:tcPr>
            <w:tcW w:w="1050" w:type="dxa"/>
            <w:tcBorders>
              <w:top w:val="nil"/>
              <w:left w:val="nil"/>
              <w:bottom w:val="nil"/>
              <w:right w:val="nil"/>
            </w:tcBorders>
            <w:tcMar>
              <w:top w:w="20" w:type="dxa"/>
              <w:left w:w="20" w:type="dxa"/>
              <w:bottom w:w="100" w:type="dxa"/>
              <w:right w:w="20" w:type="dxa"/>
            </w:tcMar>
            <w:vAlign w:val="bottom"/>
          </w:tcPr>
          <w:p w14:paraId="77B1F0D2" w14:textId="77777777" w:rsidR="00340A38" w:rsidRDefault="00000000">
            <w:pPr>
              <w:spacing w:after="0"/>
              <w:jc w:val="center"/>
              <w:rPr>
                <w:sz w:val="18"/>
                <w:szCs w:val="18"/>
              </w:rPr>
            </w:pPr>
            <w:r>
              <w:rPr>
                <w:sz w:val="18"/>
                <w:szCs w:val="18"/>
              </w:rPr>
              <w:t>0.978848</w:t>
            </w:r>
          </w:p>
        </w:tc>
        <w:tc>
          <w:tcPr>
            <w:tcW w:w="1050" w:type="dxa"/>
            <w:tcBorders>
              <w:top w:val="nil"/>
              <w:left w:val="nil"/>
              <w:bottom w:val="nil"/>
              <w:right w:val="nil"/>
            </w:tcBorders>
            <w:tcMar>
              <w:top w:w="20" w:type="dxa"/>
              <w:left w:w="20" w:type="dxa"/>
              <w:bottom w:w="100" w:type="dxa"/>
              <w:right w:w="20" w:type="dxa"/>
            </w:tcMar>
            <w:vAlign w:val="bottom"/>
          </w:tcPr>
          <w:p w14:paraId="00709923" w14:textId="77777777" w:rsidR="00340A38" w:rsidRDefault="00000000">
            <w:pPr>
              <w:spacing w:after="0"/>
              <w:jc w:val="center"/>
              <w:rPr>
                <w:sz w:val="18"/>
                <w:szCs w:val="18"/>
              </w:rPr>
            </w:pPr>
            <w:r>
              <w:rPr>
                <w:sz w:val="18"/>
                <w:szCs w:val="18"/>
              </w:rPr>
              <w:t>1</w:t>
            </w:r>
          </w:p>
        </w:tc>
        <w:tc>
          <w:tcPr>
            <w:tcW w:w="1050" w:type="dxa"/>
            <w:tcBorders>
              <w:top w:val="nil"/>
              <w:left w:val="nil"/>
              <w:bottom w:val="nil"/>
              <w:right w:val="nil"/>
            </w:tcBorders>
            <w:tcMar>
              <w:top w:w="20" w:type="dxa"/>
              <w:left w:w="20" w:type="dxa"/>
              <w:bottom w:w="100" w:type="dxa"/>
              <w:right w:w="20" w:type="dxa"/>
            </w:tcMar>
            <w:vAlign w:val="bottom"/>
          </w:tcPr>
          <w:p w14:paraId="7AAF75F4" w14:textId="77777777" w:rsidR="00340A38" w:rsidRDefault="00000000">
            <w:pPr>
              <w:spacing w:after="0"/>
              <w:jc w:val="center"/>
              <w:rPr>
                <w:sz w:val="18"/>
                <w:szCs w:val="18"/>
              </w:rPr>
            </w:pPr>
            <w:r>
              <w:rPr>
                <w:sz w:val="18"/>
                <w:szCs w:val="18"/>
              </w:rPr>
              <w:t>-2.775766762</w:t>
            </w:r>
          </w:p>
        </w:tc>
        <w:tc>
          <w:tcPr>
            <w:tcW w:w="1050" w:type="dxa"/>
            <w:tcBorders>
              <w:top w:val="nil"/>
              <w:left w:val="nil"/>
              <w:bottom w:val="nil"/>
              <w:right w:val="nil"/>
            </w:tcBorders>
            <w:tcMar>
              <w:top w:w="20" w:type="dxa"/>
              <w:left w:w="20" w:type="dxa"/>
              <w:bottom w:w="100" w:type="dxa"/>
              <w:right w:w="20" w:type="dxa"/>
            </w:tcMar>
            <w:vAlign w:val="bottom"/>
          </w:tcPr>
          <w:p w14:paraId="384D1238" w14:textId="77777777" w:rsidR="00340A38" w:rsidRDefault="00000000">
            <w:pPr>
              <w:spacing w:after="0"/>
              <w:jc w:val="center"/>
              <w:rPr>
                <w:sz w:val="18"/>
                <w:szCs w:val="18"/>
              </w:rPr>
            </w:pPr>
            <w:r>
              <w:rPr>
                <w:sz w:val="18"/>
                <w:szCs w:val="18"/>
              </w:rPr>
              <w:t>10.30139118</w:t>
            </w:r>
          </w:p>
        </w:tc>
      </w:tr>
    </w:tbl>
    <w:p w14:paraId="3C51F815" w14:textId="77777777" w:rsidR="00ED6383" w:rsidRDefault="00ED6383">
      <w:pPr>
        <w:spacing w:after="0"/>
        <w:rPr>
          <w:b/>
          <w:sz w:val="18"/>
          <w:szCs w:val="18"/>
        </w:rPr>
      </w:pPr>
    </w:p>
    <w:p w14:paraId="21C6C502" w14:textId="62323CC3" w:rsidR="00340A38" w:rsidRDefault="00000000">
      <w:pPr>
        <w:spacing w:after="0"/>
      </w:pPr>
      <w:r>
        <w:rPr>
          <w:b/>
          <w:sz w:val="18"/>
          <w:szCs w:val="18"/>
        </w:rPr>
        <w:lastRenderedPageBreak/>
        <w:t xml:space="preserve">Panel D: Control </w:t>
      </w:r>
    </w:p>
    <w:tbl>
      <w:tblPr>
        <w:tblStyle w:val="a2"/>
        <w:tblW w:w="9570" w:type="dxa"/>
        <w:tblBorders>
          <w:top w:val="nil"/>
          <w:left w:val="nil"/>
          <w:bottom w:val="nil"/>
          <w:right w:val="nil"/>
          <w:insideH w:val="nil"/>
          <w:insideV w:val="nil"/>
        </w:tblBorders>
        <w:tblLayout w:type="fixed"/>
        <w:tblLook w:val="0600" w:firstRow="0" w:lastRow="0" w:firstColumn="0" w:lastColumn="0" w:noHBand="1" w:noVBand="1"/>
      </w:tblPr>
      <w:tblGrid>
        <w:gridCol w:w="1080"/>
        <w:gridCol w:w="1080"/>
        <w:gridCol w:w="1080"/>
        <w:gridCol w:w="1065"/>
        <w:gridCol w:w="1065"/>
        <w:gridCol w:w="1050"/>
        <w:gridCol w:w="1050"/>
        <w:gridCol w:w="1050"/>
        <w:gridCol w:w="1050"/>
      </w:tblGrid>
      <w:tr w:rsidR="00340A38" w14:paraId="69A32C95" w14:textId="77777777">
        <w:trPr>
          <w:cantSplit/>
          <w:trHeight w:val="430"/>
          <w:tblHeader/>
        </w:trPr>
        <w:tc>
          <w:tcPr>
            <w:tcW w:w="1080" w:type="dxa"/>
            <w:tcBorders>
              <w:top w:val="nil"/>
              <w:left w:val="nil"/>
              <w:bottom w:val="single" w:sz="3" w:space="0" w:color="000000"/>
              <w:right w:val="nil"/>
            </w:tcBorders>
            <w:tcMar>
              <w:top w:w="20" w:type="dxa"/>
              <w:left w:w="20" w:type="dxa"/>
              <w:bottom w:w="100" w:type="dxa"/>
              <w:right w:w="20" w:type="dxa"/>
            </w:tcMar>
          </w:tcPr>
          <w:p w14:paraId="618098FE" w14:textId="77777777" w:rsidR="00340A38" w:rsidRDefault="00340A38">
            <w:pPr>
              <w:spacing w:after="0"/>
              <w:jc w:val="center"/>
              <w:rPr>
                <w:sz w:val="18"/>
                <w:szCs w:val="18"/>
              </w:rPr>
            </w:pPr>
          </w:p>
        </w:tc>
        <w:tc>
          <w:tcPr>
            <w:tcW w:w="1080" w:type="dxa"/>
            <w:tcBorders>
              <w:top w:val="nil"/>
              <w:left w:val="nil"/>
              <w:bottom w:val="single" w:sz="3" w:space="0" w:color="000000"/>
              <w:right w:val="nil"/>
            </w:tcBorders>
            <w:tcMar>
              <w:top w:w="20" w:type="dxa"/>
              <w:left w:w="20" w:type="dxa"/>
              <w:bottom w:w="100" w:type="dxa"/>
              <w:right w:w="20" w:type="dxa"/>
            </w:tcMar>
          </w:tcPr>
          <w:p w14:paraId="1D7A3C1D" w14:textId="77777777" w:rsidR="00340A38" w:rsidRDefault="00000000">
            <w:pPr>
              <w:spacing w:after="0" w:line="240" w:lineRule="auto"/>
              <w:jc w:val="center"/>
              <w:rPr>
                <w:sz w:val="18"/>
                <w:szCs w:val="18"/>
              </w:rPr>
            </w:pPr>
            <w:proofErr w:type="spellStart"/>
            <w:r>
              <w:rPr>
                <w:b/>
                <w:sz w:val="18"/>
                <w:szCs w:val="18"/>
              </w:rPr>
              <w:t>Obs</w:t>
            </w:r>
            <w:proofErr w:type="spellEnd"/>
          </w:p>
        </w:tc>
        <w:tc>
          <w:tcPr>
            <w:tcW w:w="1080" w:type="dxa"/>
            <w:tcBorders>
              <w:top w:val="nil"/>
              <w:left w:val="nil"/>
              <w:bottom w:val="single" w:sz="3" w:space="0" w:color="000000"/>
              <w:right w:val="nil"/>
            </w:tcBorders>
            <w:tcMar>
              <w:top w:w="20" w:type="dxa"/>
              <w:left w:w="20" w:type="dxa"/>
              <w:bottom w:w="100" w:type="dxa"/>
              <w:right w:w="20" w:type="dxa"/>
            </w:tcMar>
          </w:tcPr>
          <w:p w14:paraId="7560F754" w14:textId="77777777" w:rsidR="00340A38" w:rsidRDefault="00000000">
            <w:pPr>
              <w:spacing w:after="0" w:line="240" w:lineRule="auto"/>
              <w:jc w:val="center"/>
              <w:rPr>
                <w:sz w:val="18"/>
                <w:szCs w:val="18"/>
              </w:rPr>
            </w:pPr>
            <w:r>
              <w:rPr>
                <w:b/>
                <w:sz w:val="18"/>
                <w:szCs w:val="18"/>
              </w:rPr>
              <w:t>Mean</w:t>
            </w:r>
          </w:p>
        </w:tc>
        <w:tc>
          <w:tcPr>
            <w:tcW w:w="1065" w:type="dxa"/>
            <w:tcBorders>
              <w:top w:val="nil"/>
              <w:left w:val="nil"/>
              <w:bottom w:val="single" w:sz="3" w:space="0" w:color="000000"/>
              <w:right w:val="nil"/>
            </w:tcBorders>
            <w:tcMar>
              <w:top w:w="20" w:type="dxa"/>
              <w:left w:w="20" w:type="dxa"/>
              <w:bottom w:w="100" w:type="dxa"/>
              <w:right w:w="20" w:type="dxa"/>
            </w:tcMar>
          </w:tcPr>
          <w:p w14:paraId="23FD46B5" w14:textId="77777777" w:rsidR="00340A38" w:rsidRDefault="00000000">
            <w:pPr>
              <w:spacing w:after="0" w:line="240" w:lineRule="auto"/>
              <w:jc w:val="center"/>
              <w:rPr>
                <w:sz w:val="18"/>
                <w:szCs w:val="18"/>
              </w:rPr>
            </w:pPr>
            <w:r>
              <w:rPr>
                <w:b/>
                <w:sz w:val="18"/>
                <w:szCs w:val="18"/>
              </w:rPr>
              <w:t>Std</w:t>
            </w:r>
          </w:p>
        </w:tc>
        <w:tc>
          <w:tcPr>
            <w:tcW w:w="1065" w:type="dxa"/>
            <w:tcBorders>
              <w:top w:val="nil"/>
              <w:left w:val="nil"/>
              <w:bottom w:val="single" w:sz="3" w:space="0" w:color="000000"/>
              <w:right w:val="nil"/>
            </w:tcBorders>
            <w:tcMar>
              <w:top w:w="20" w:type="dxa"/>
              <w:left w:w="20" w:type="dxa"/>
              <w:bottom w:w="100" w:type="dxa"/>
              <w:right w:w="20" w:type="dxa"/>
            </w:tcMar>
          </w:tcPr>
          <w:p w14:paraId="468E4487" w14:textId="77777777" w:rsidR="00340A38" w:rsidRDefault="00000000">
            <w:pPr>
              <w:spacing w:after="0" w:line="240" w:lineRule="auto"/>
              <w:jc w:val="center"/>
              <w:rPr>
                <w:sz w:val="18"/>
                <w:szCs w:val="18"/>
              </w:rPr>
            </w:pPr>
            <w:r>
              <w:rPr>
                <w:b/>
                <w:sz w:val="18"/>
                <w:szCs w:val="18"/>
              </w:rPr>
              <w:t>Min</w:t>
            </w:r>
          </w:p>
        </w:tc>
        <w:tc>
          <w:tcPr>
            <w:tcW w:w="1050" w:type="dxa"/>
            <w:tcBorders>
              <w:top w:val="nil"/>
              <w:left w:val="nil"/>
              <w:bottom w:val="single" w:sz="3" w:space="0" w:color="000000"/>
              <w:right w:val="nil"/>
            </w:tcBorders>
            <w:tcMar>
              <w:top w:w="20" w:type="dxa"/>
              <w:left w:w="20" w:type="dxa"/>
              <w:bottom w:w="100" w:type="dxa"/>
              <w:right w:w="20" w:type="dxa"/>
            </w:tcMar>
          </w:tcPr>
          <w:p w14:paraId="5AE7C06A" w14:textId="77777777" w:rsidR="00340A38" w:rsidRDefault="00000000">
            <w:pPr>
              <w:spacing w:after="0" w:line="240" w:lineRule="auto"/>
              <w:jc w:val="center"/>
              <w:rPr>
                <w:sz w:val="18"/>
                <w:szCs w:val="18"/>
              </w:rPr>
            </w:pPr>
            <w:r>
              <w:rPr>
                <w:b/>
                <w:sz w:val="18"/>
                <w:szCs w:val="18"/>
              </w:rPr>
              <w:t>Median</w:t>
            </w:r>
          </w:p>
        </w:tc>
        <w:tc>
          <w:tcPr>
            <w:tcW w:w="1050" w:type="dxa"/>
            <w:tcBorders>
              <w:top w:val="nil"/>
              <w:left w:val="nil"/>
              <w:bottom w:val="single" w:sz="3" w:space="0" w:color="000000"/>
              <w:right w:val="nil"/>
            </w:tcBorders>
            <w:tcMar>
              <w:top w:w="20" w:type="dxa"/>
              <w:left w:w="20" w:type="dxa"/>
              <w:bottom w:w="100" w:type="dxa"/>
              <w:right w:w="20" w:type="dxa"/>
            </w:tcMar>
          </w:tcPr>
          <w:p w14:paraId="07CD8664" w14:textId="77777777" w:rsidR="00340A38" w:rsidRDefault="00000000">
            <w:pPr>
              <w:spacing w:after="0" w:line="240" w:lineRule="auto"/>
              <w:jc w:val="center"/>
              <w:rPr>
                <w:sz w:val="18"/>
                <w:szCs w:val="18"/>
              </w:rPr>
            </w:pPr>
            <w:r>
              <w:rPr>
                <w:b/>
                <w:sz w:val="18"/>
                <w:szCs w:val="18"/>
              </w:rPr>
              <w:t>Max</w:t>
            </w:r>
          </w:p>
        </w:tc>
        <w:tc>
          <w:tcPr>
            <w:tcW w:w="1050" w:type="dxa"/>
            <w:tcBorders>
              <w:top w:val="nil"/>
              <w:left w:val="nil"/>
              <w:bottom w:val="single" w:sz="3" w:space="0" w:color="000000"/>
              <w:right w:val="nil"/>
            </w:tcBorders>
            <w:tcMar>
              <w:top w:w="20" w:type="dxa"/>
              <w:left w:w="20" w:type="dxa"/>
              <w:bottom w:w="100" w:type="dxa"/>
              <w:right w:w="20" w:type="dxa"/>
            </w:tcMar>
          </w:tcPr>
          <w:p w14:paraId="72A962AC" w14:textId="77777777" w:rsidR="00340A38" w:rsidRDefault="00000000">
            <w:pPr>
              <w:spacing w:after="0" w:line="240" w:lineRule="auto"/>
              <w:jc w:val="center"/>
              <w:rPr>
                <w:sz w:val="18"/>
                <w:szCs w:val="18"/>
              </w:rPr>
            </w:pPr>
            <w:r>
              <w:rPr>
                <w:b/>
                <w:sz w:val="18"/>
                <w:szCs w:val="18"/>
              </w:rPr>
              <w:t>Skewness</w:t>
            </w:r>
          </w:p>
        </w:tc>
        <w:tc>
          <w:tcPr>
            <w:tcW w:w="1050" w:type="dxa"/>
            <w:tcBorders>
              <w:top w:val="nil"/>
              <w:left w:val="nil"/>
              <w:bottom w:val="single" w:sz="3" w:space="0" w:color="000000"/>
              <w:right w:val="nil"/>
            </w:tcBorders>
            <w:tcMar>
              <w:top w:w="20" w:type="dxa"/>
              <w:left w:w="20" w:type="dxa"/>
              <w:bottom w:w="100" w:type="dxa"/>
              <w:right w:w="20" w:type="dxa"/>
            </w:tcMar>
          </w:tcPr>
          <w:p w14:paraId="673B5119" w14:textId="77777777" w:rsidR="00340A38" w:rsidRDefault="00000000">
            <w:pPr>
              <w:spacing w:after="0" w:line="240" w:lineRule="auto"/>
              <w:jc w:val="center"/>
              <w:rPr>
                <w:sz w:val="18"/>
                <w:szCs w:val="18"/>
              </w:rPr>
            </w:pPr>
            <w:r>
              <w:rPr>
                <w:b/>
                <w:sz w:val="18"/>
                <w:szCs w:val="18"/>
              </w:rPr>
              <w:t>Kurtosis</w:t>
            </w:r>
          </w:p>
        </w:tc>
      </w:tr>
      <w:tr w:rsidR="00340A38" w14:paraId="2ABF23CE" w14:textId="77777777">
        <w:trPr>
          <w:cantSplit/>
          <w:trHeight w:val="430"/>
          <w:tblHeader/>
        </w:trPr>
        <w:tc>
          <w:tcPr>
            <w:tcW w:w="1080" w:type="dxa"/>
            <w:tcBorders>
              <w:top w:val="nil"/>
              <w:left w:val="nil"/>
              <w:bottom w:val="nil"/>
              <w:right w:val="nil"/>
            </w:tcBorders>
            <w:tcMar>
              <w:top w:w="20" w:type="dxa"/>
              <w:left w:w="20" w:type="dxa"/>
              <w:bottom w:w="100" w:type="dxa"/>
              <w:right w:w="20" w:type="dxa"/>
            </w:tcMar>
          </w:tcPr>
          <w:p w14:paraId="33F23DAD" w14:textId="77777777" w:rsidR="00340A38" w:rsidRDefault="00000000">
            <w:pPr>
              <w:spacing w:after="0"/>
              <w:jc w:val="center"/>
              <w:rPr>
                <w:sz w:val="18"/>
                <w:szCs w:val="18"/>
              </w:rPr>
            </w:pPr>
            <w:r>
              <w:rPr>
                <w:b/>
                <w:sz w:val="18"/>
                <w:szCs w:val="18"/>
              </w:rPr>
              <w:t>SIZE</w:t>
            </w:r>
          </w:p>
        </w:tc>
        <w:tc>
          <w:tcPr>
            <w:tcW w:w="1080" w:type="dxa"/>
            <w:tcBorders>
              <w:top w:val="nil"/>
              <w:left w:val="nil"/>
              <w:bottom w:val="nil"/>
              <w:right w:val="nil"/>
            </w:tcBorders>
            <w:tcMar>
              <w:top w:w="20" w:type="dxa"/>
              <w:left w:w="20" w:type="dxa"/>
              <w:bottom w:w="100" w:type="dxa"/>
              <w:right w:w="20" w:type="dxa"/>
            </w:tcMar>
            <w:vAlign w:val="bottom"/>
          </w:tcPr>
          <w:p w14:paraId="6F34DEC0" w14:textId="77777777" w:rsidR="00340A38" w:rsidRDefault="00000000">
            <w:pPr>
              <w:spacing w:after="0"/>
              <w:jc w:val="center"/>
              <w:rPr>
                <w:sz w:val="18"/>
                <w:szCs w:val="18"/>
              </w:rPr>
            </w:pPr>
            <w:r>
              <w:rPr>
                <w:sz w:val="18"/>
                <w:szCs w:val="18"/>
              </w:rPr>
              <w:t>7405</w:t>
            </w:r>
          </w:p>
        </w:tc>
        <w:tc>
          <w:tcPr>
            <w:tcW w:w="1080" w:type="dxa"/>
            <w:tcBorders>
              <w:top w:val="nil"/>
              <w:left w:val="nil"/>
              <w:bottom w:val="nil"/>
              <w:right w:val="nil"/>
            </w:tcBorders>
            <w:tcMar>
              <w:top w:w="20" w:type="dxa"/>
              <w:left w:w="20" w:type="dxa"/>
              <w:bottom w:w="100" w:type="dxa"/>
              <w:right w:w="20" w:type="dxa"/>
            </w:tcMar>
            <w:vAlign w:val="bottom"/>
          </w:tcPr>
          <w:p w14:paraId="5A5261D6" w14:textId="77777777" w:rsidR="00340A38" w:rsidRDefault="00000000">
            <w:pPr>
              <w:spacing w:after="0"/>
              <w:jc w:val="center"/>
              <w:rPr>
                <w:sz w:val="18"/>
                <w:szCs w:val="18"/>
              </w:rPr>
            </w:pPr>
            <w:r>
              <w:rPr>
                <w:sz w:val="18"/>
                <w:szCs w:val="18"/>
              </w:rPr>
              <w:t>9.748013509</w:t>
            </w:r>
          </w:p>
        </w:tc>
        <w:tc>
          <w:tcPr>
            <w:tcW w:w="1065" w:type="dxa"/>
            <w:tcBorders>
              <w:top w:val="nil"/>
              <w:left w:val="nil"/>
              <w:bottom w:val="nil"/>
              <w:right w:val="nil"/>
            </w:tcBorders>
            <w:tcMar>
              <w:top w:w="20" w:type="dxa"/>
              <w:left w:w="20" w:type="dxa"/>
              <w:bottom w:w="100" w:type="dxa"/>
              <w:right w:w="20" w:type="dxa"/>
            </w:tcMar>
            <w:vAlign w:val="bottom"/>
          </w:tcPr>
          <w:p w14:paraId="258032C6" w14:textId="77777777" w:rsidR="00340A38" w:rsidRDefault="00000000">
            <w:pPr>
              <w:spacing w:after="0"/>
              <w:jc w:val="center"/>
              <w:rPr>
                <w:sz w:val="18"/>
                <w:szCs w:val="18"/>
              </w:rPr>
            </w:pPr>
            <w:r>
              <w:rPr>
                <w:sz w:val="18"/>
                <w:szCs w:val="18"/>
              </w:rPr>
              <w:t>0.557938207</w:t>
            </w:r>
          </w:p>
        </w:tc>
        <w:tc>
          <w:tcPr>
            <w:tcW w:w="1065" w:type="dxa"/>
            <w:tcBorders>
              <w:top w:val="nil"/>
              <w:left w:val="nil"/>
              <w:bottom w:val="nil"/>
              <w:right w:val="nil"/>
            </w:tcBorders>
            <w:tcMar>
              <w:top w:w="20" w:type="dxa"/>
              <w:left w:w="20" w:type="dxa"/>
              <w:bottom w:w="100" w:type="dxa"/>
              <w:right w:w="20" w:type="dxa"/>
            </w:tcMar>
            <w:vAlign w:val="bottom"/>
          </w:tcPr>
          <w:p w14:paraId="42289C36" w14:textId="77777777" w:rsidR="00340A38" w:rsidRDefault="00000000">
            <w:pPr>
              <w:spacing w:after="0"/>
              <w:jc w:val="center"/>
              <w:rPr>
                <w:sz w:val="18"/>
                <w:szCs w:val="18"/>
              </w:rPr>
            </w:pPr>
            <w:r>
              <w:rPr>
                <w:sz w:val="18"/>
                <w:szCs w:val="18"/>
              </w:rPr>
              <w:t>7.018780906</w:t>
            </w:r>
          </w:p>
        </w:tc>
        <w:tc>
          <w:tcPr>
            <w:tcW w:w="1050" w:type="dxa"/>
            <w:tcBorders>
              <w:top w:val="nil"/>
              <w:left w:val="nil"/>
              <w:bottom w:val="nil"/>
              <w:right w:val="nil"/>
            </w:tcBorders>
            <w:tcMar>
              <w:top w:w="20" w:type="dxa"/>
              <w:left w:w="20" w:type="dxa"/>
              <w:bottom w:w="100" w:type="dxa"/>
              <w:right w:w="20" w:type="dxa"/>
            </w:tcMar>
            <w:vAlign w:val="bottom"/>
          </w:tcPr>
          <w:p w14:paraId="2AFDABFE" w14:textId="77777777" w:rsidR="00340A38" w:rsidRDefault="00000000">
            <w:pPr>
              <w:spacing w:after="0"/>
              <w:jc w:val="center"/>
              <w:rPr>
                <w:sz w:val="18"/>
                <w:szCs w:val="18"/>
              </w:rPr>
            </w:pPr>
            <w:r>
              <w:rPr>
                <w:sz w:val="18"/>
                <w:szCs w:val="18"/>
              </w:rPr>
              <w:t>9.670146667</w:t>
            </w:r>
          </w:p>
        </w:tc>
        <w:tc>
          <w:tcPr>
            <w:tcW w:w="1050" w:type="dxa"/>
            <w:tcBorders>
              <w:top w:val="nil"/>
              <w:left w:val="nil"/>
              <w:bottom w:val="nil"/>
              <w:right w:val="nil"/>
            </w:tcBorders>
            <w:tcMar>
              <w:top w:w="20" w:type="dxa"/>
              <w:left w:w="20" w:type="dxa"/>
              <w:bottom w:w="100" w:type="dxa"/>
              <w:right w:w="20" w:type="dxa"/>
            </w:tcMar>
            <w:vAlign w:val="bottom"/>
          </w:tcPr>
          <w:p w14:paraId="60BC0A16" w14:textId="77777777" w:rsidR="00340A38" w:rsidRDefault="00000000">
            <w:pPr>
              <w:spacing w:after="0"/>
              <w:jc w:val="center"/>
              <w:rPr>
                <w:sz w:val="18"/>
                <w:szCs w:val="18"/>
              </w:rPr>
            </w:pPr>
            <w:r>
              <w:rPr>
                <w:sz w:val="18"/>
                <w:szCs w:val="18"/>
              </w:rPr>
              <w:t>12.42372142</w:t>
            </w:r>
          </w:p>
        </w:tc>
        <w:tc>
          <w:tcPr>
            <w:tcW w:w="1050" w:type="dxa"/>
            <w:tcBorders>
              <w:top w:val="nil"/>
              <w:left w:val="nil"/>
              <w:bottom w:val="nil"/>
              <w:right w:val="nil"/>
            </w:tcBorders>
            <w:tcMar>
              <w:top w:w="20" w:type="dxa"/>
              <w:left w:w="20" w:type="dxa"/>
              <w:bottom w:w="100" w:type="dxa"/>
              <w:right w:w="20" w:type="dxa"/>
            </w:tcMar>
            <w:vAlign w:val="bottom"/>
          </w:tcPr>
          <w:p w14:paraId="28DBCD87" w14:textId="77777777" w:rsidR="00340A38" w:rsidRDefault="00000000">
            <w:pPr>
              <w:spacing w:after="0"/>
              <w:jc w:val="center"/>
              <w:rPr>
                <w:sz w:val="18"/>
                <w:szCs w:val="18"/>
              </w:rPr>
            </w:pPr>
            <w:r>
              <w:rPr>
                <w:sz w:val="18"/>
                <w:szCs w:val="18"/>
              </w:rPr>
              <w:t>0.697049174</w:t>
            </w:r>
          </w:p>
        </w:tc>
        <w:tc>
          <w:tcPr>
            <w:tcW w:w="1050" w:type="dxa"/>
            <w:tcBorders>
              <w:top w:val="nil"/>
              <w:left w:val="nil"/>
              <w:bottom w:val="nil"/>
              <w:right w:val="nil"/>
            </w:tcBorders>
            <w:tcMar>
              <w:top w:w="20" w:type="dxa"/>
              <w:left w:w="20" w:type="dxa"/>
              <w:bottom w:w="100" w:type="dxa"/>
              <w:right w:w="20" w:type="dxa"/>
            </w:tcMar>
            <w:vAlign w:val="bottom"/>
          </w:tcPr>
          <w:p w14:paraId="13687E3A" w14:textId="77777777" w:rsidR="00340A38" w:rsidRDefault="00000000">
            <w:pPr>
              <w:spacing w:after="0"/>
              <w:jc w:val="center"/>
              <w:rPr>
                <w:sz w:val="18"/>
                <w:szCs w:val="18"/>
              </w:rPr>
            </w:pPr>
            <w:r>
              <w:rPr>
                <w:sz w:val="18"/>
                <w:szCs w:val="18"/>
              </w:rPr>
              <w:t>1.044660004</w:t>
            </w:r>
          </w:p>
        </w:tc>
      </w:tr>
      <w:tr w:rsidR="00340A38" w14:paraId="0363C721" w14:textId="77777777">
        <w:trPr>
          <w:cantSplit/>
          <w:trHeight w:val="430"/>
          <w:tblHeader/>
        </w:trPr>
        <w:tc>
          <w:tcPr>
            <w:tcW w:w="1080" w:type="dxa"/>
            <w:tcBorders>
              <w:top w:val="nil"/>
              <w:left w:val="nil"/>
              <w:bottom w:val="nil"/>
              <w:right w:val="nil"/>
            </w:tcBorders>
            <w:tcMar>
              <w:top w:w="20" w:type="dxa"/>
              <w:left w:w="20" w:type="dxa"/>
              <w:bottom w:w="100" w:type="dxa"/>
              <w:right w:w="20" w:type="dxa"/>
            </w:tcMar>
          </w:tcPr>
          <w:p w14:paraId="01CD5A2D" w14:textId="77777777" w:rsidR="00340A38" w:rsidRDefault="00000000">
            <w:pPr>
              <w:spacing w:after="0"/>
              <w:jc w:val="center"/>
              <w:rPr>
                <w:sz w:val="18"/>
                <w:szCs w:val="18"/>
              </w:rPr>
            </w:pPr>
            <w:r>
              <w:rPr>
                <w:b/>
                <w:sz w:val="18"/>
                <w:szCs w:val="18"/>
              </w:rPr>
              <w:t>ROA</w:t>
            </w:r>
          </w:p>
        </w:tc>
        <w:tc>
          <w:tcPr>
            <w:tcW w:w="1080" w:type="dxa"/>
            <w:tcBorders>
              <w:top w:val="nil"/>
              <w:left w:val="nil"/>
              <w:bottom w:val="nil"/>
              <w:right w:val="nil"/>
            </w:tcBorders>
            <w:tcMar>
              <w:top w:w="20" w:type="dxa"/>
              <w:left w:w="20" w:type="dxa"/>
              <w:bottom w:w="100" w:type="dxa"/>
              <w:right w:w="20" w:type="dxa"/>
            </w:tcMar>
            <w:vAlign w:val="bottom"/>
          </w:tcPr>
          <w:p w14:paraId="3E0916A3" w14:textId="77777777" w:rsidR="00340A38" w:rsidRDefault="00000000">
            <w:pPr>
              <w:spacing w:after="0"/>
              <w:jc w:val="center"/>
              <w:rPr>
                <w:sz w:val="18"/>
                <w:szCs w:val="18"/>
              </w:rPr>
            </w:pPr>
            <w:r>
              <w:rPr>
                <w:sz w:val="18"/>
                <w:szCs w:val="18"/>
              </w:rPr>
              <w:t>7405</w:t>
            </w:r>
          </w:p>
        </w:tc>
        <w:tc>
          <w:tcPr>
            <w:tcW w:w="1080" w:type="dxa"/>
            <w:tcBorders>
              <w:top w:val="nil"/>
              <w:left w:val="nil"/>
              <w:bottom w:val="nil"/>
              <w:right w:val="nil"/>
            </w:tcBorders>
            <w:tcMar>
              <w:top w:w="20" w:type="dxa"/>
              <w:left w:w="20" w:type="dxa"/>
              <w:bottom w:w="100" w:type="dxa"/>
              <w:right w:w="20" w:type="dxa"/>
            </w:tcMar>
            <w:vAlign w:val="bottom"/>
          </w:tcPr>
          <w:p w14:paraId="7DB63E16" w14:textId="77777777" w:rsidR="00340A38" w:rsidRDefault="00000000">
            <w:pPr>
              <w:spacing w:after="0"/>
              <w:jc w:val="center"/>
              <w:rPr>
                <w:sz w:val="18"/>
                <w:szCs w:val="18"/>
              </w:rPr>
            </w:pPr>
            <w:r>
              <w:rPr>
                <w:sz w:val="18"/>
                <w:szCs w:val="18"/>
              </w:rPr>
              <w:t>3.955112419</w:t>
            </w:r>
          </w:p>
        </w:tc>
        <w:tc>
          <w:tcPr>
            <w:tcW w:w="1065" w:type="dxa"/>
            <w:tcBorders>
              <w:top w:val="nil"/>
              <w:left w:val="nil"/>
              <w:bottom w:val="nil"/>
              <w:right w:val="nil"/>
            </w:tcBorders>
            <w:tcMar>
              <w:top w:w="20" w:type="dxa"/>
              <w:left w:w="20" w:type="dxa"/>
              <w:bottom w:w="100" w:type="dxa"/>
              <w:right w:w="20" w:type="dxa"/>
            </w:tcMar>
            <w:vAlign w:val="bottom"/>
          </w:tcPr>
          <w:p w14:paraId="5378BECA" w14:textId="77777777" w:rsidR="00340A38" w:rsidRDefault="00000000">
            <w:pPr>
              <w:spacing w:after="0"/>
              <w:jc w:val="center"/>
              <w:rPr>
                <w:sz w:val="18"/>
                <w:szCs w:val="18"/>
              </w:rPr>
            </w:pPr>
            <w:r>
              <w:rPr>
                <w:sz w:val="18"/>
                <w:szCs w:val="18"/>
              </w:rPr>
              <w:t>13.87968711</w:t>
            </w:r>
          </w:p>
        </w:tc>
        <w:tc>
          <w:tcPr>
            <w:tcW w:w="1065" w:type="dxa"/>
            <w:tcBorders>
              <w:top w:val="nil"/>
              <w:left w:val="nil"/>
              <w:bottom w:val="nil"/>
              <w:right w:val="nil"/>
            </w:tcBorders>
            <w:tcMar>
              <w:top w:w="20" w:type="dxa"/>
              <w:left w:w="20" w:type="dxa"/>
              <w:bottom w:w="100" w:type="dxa"/>
              <w:right w:w="20" w:type="dxa"/>
            </w:tcMar>
            <w:vAlign w:val="bottom"/>
          </w:tcPr>
          <w:p w14:paraId="5A3C1B54" w14:textId="77777777" w:rsidR="00340A38" w:rsidRDefault="00000000">
            <w:pPr>
              <w:spacing w:after="0"/>
              <w:jc w:val="center"/>
              <w:rPr>
                <w:sz w:val="18"/>
                <w:szCs w:val="18"/>
              </w:rPr>
            </w:pPr>
            <w:r>
              <w:rPr>
                <w:sz w:val="18"/>
                <w:szCs w:val="18"/>
              </w:rPr>
              <w:t>-143.1568</w:t>
            </w:r>
          </w:p>
        </w:tc>
        <w:tc>
          <w:tcPr>
            <w:tcW w:w="1050" w:type="dxa"/>
            <w:tcBorders>
              <w:top w:val="nil"/>
              <w:left w:val="nil"/>
              <w:bottom w:val="nil"/>
              <w:right w:val="nil"/>
            </w:tcBorders>
            <w:tcMar>
              <w:top w:w="20" w:type="dxa"/>
              <w:left w:w="20" w:type="dxa"/>
              <w:bottom w:w="100" w:type="dxa"/>
              <w:right w:w="20" w:type="dxa"/>
            </w:tcMar>
            <w:vAlign w:val="bottom"/>
          </w:tcPr>
          <w:p w14:paraId="4EF15E73" w14:textId="77777777" w:rsidR="00340A38" w:rsidRDefault="00000000">
            <w:pPr>
              <w:spacing w:after="0"/>
              <w:jc w:val="center"/>
              <w:rPr>
                <w:sz w:val="18"/>
                <w:szCs w:val="18"/>
              </w:rPr>
            </w:pPr>
            <w:r>
              <w:rPr>
                <w:sz w:val="18"/>
                <w:szCs w:val="18"/>
              </w:rPr>
              <w:t>3.64955</w:t>
            </w:r>
          </w:p>
        </w:tc>
        <w:tc>
          <w:tcPr>
            <w:tcW w:w="1050" w:type="dxa"/>
            <w:tcBorders>
              <w:top w:val="nil"/>
              <w:left w:val="nil"/>
              <w:bottom w:val="nil"/>
              <w:right w:val="nil"/>
            </w:tcBorders>
            <w:tcMar>
              <w:top w:w="20" w:type="dxa"/>
              <w:left w:w="20" w:type="dxa"/>
              <w:bottom w:w="100" w:type="dxa"/>
              <w:right w:w="20" w:type="dxa"/>
            </w:tcMar>
            <w:vAlign w:val="bottom"/>
          </w:tcPr>
          <w:p w14:paraId="1CC14210" w14:textId="77777777" w:rsidR="00340A38" w:rsidRDefault="00000000">
            <w:pPr>
              <w:spacing w:after="0"/>
              <w:jc w:val="center"/>
              <w:rPr>
                <w:sz w:val="18"/>
                <w:szCs w:val="18"/>
              </w:rPr>
            </w:pPr>
            <w:r>
              <w:rPr>
                <w:sz w:val="18"/>
                <w:szCs w:val="18"/>
              </w:rPr>
              <w:t>710.8938</w:t>
            </w:r>
          </w:p>
        </w:tc>
        <w:tc>
          <w:tcPr>
            <w:tcW w:w="1050" w:type="dxa"/>
            <w:tcBorders>
              <w:top w:val="nil"/>
              <w:left w:val="nil"/>
              <w:bottom w:val="nil"/>
              <w:right w:val="nil"/>
            </w:tcBorders>
            <w:tcMar>
              <w:top w:w="20" w:type="dxa"/>
              <w:left w:w="20" w:type="dxa"/>
              <w:bottom w:w="100" w:type="dxa"/>
              <w:right w:w="20" w:type="dxa"/>
            </w:tcMar>
            <w:vAlign w:val="bottom"/>
          </w:tcPr>
          <w:p w14:paraId="3D1022F3" w14:textId="77777777" w:rsidR="00340A38" w:rsidRDefault="00000000">
            <w:pPr>
              <w:spacing w:after="0"/>
              <w:jc w:val="center"/>
              <w:rPr>
                <w:sz w:val="18"/>
                <w:szCs w:val="18"/>
              </w:rPr>
            </w:pPr>
            <w:r>
              <w:rPr>
                <w:sz w:val="18"/>
                <w:szCs w:val="18"/>
              </w:rPr>
              <w:t>23.75697645</w:t>
            </w:r>
          </w:p>
        </w:tc>
        <w:tc>
          <w:tcPr>
            <w:tcW w:w="1050" w:type="dxa"/>
            <w:tcBorders>
              <w:top w:val="nil"/>
              <w:left w:val="nil"/>
              <w:bottom w:val="nil"/>
              <w:right w:val="nil"/>
            </w:tcBorders>
            <w:tcMar>
              <w:top w:w="20" w:type="dxa"/>
              <w:left w:w="20" w:type="dxa"/>
              <w:bottom w:w="100" w:type="dxa"/>
              <w:right w:w="20" w:type="dxa"/>
            </w:tcMar>
            <w:vAlign w:val="bottom"/>
          </w:tcPr>
          <w:p w14:paraId="2F199487" w14:textId="77777777" w:rsidR="00340A38" w:rsidRDefault="00000000">
            <w:pPr>
              <w:spacing w:after="0"/>
              <w:jc w:val="center"/>
              <w:rPr>
                <w:sz w:val="18"/>
                <w:szCs w:val="18"/>
              </w:rPr>
            </w:pPr>
            <w:r>
              <w:rPr>
                <w:sz w:val="18"/>
                <w:szCs w:val="18"/>
              </w:rPr>
              <w:t>1121.485691</w:t>
            </w:r>
          </w:p>
        </w:tc>
      </w:tr>
      <w:tr w:rsidR="00340A38" w14:paraId="7F62C8F7" w14:textId="77777777">
        <w:trPr>
          <w:cantSplit/>
          <w:trHeight w:val="430"/>
        </w:trPr>
        <w:tc>
          <w:tcPr>
            <w:tcW w:w="1080" w:type="dxa"/>
            <w:tcBorders>
              <w:top w:val="nil"/>
              <w:left w:val="nil"/>
              <w:bottom w:val="nil"/>
              <w:right w:val="nil"/>
            </w:tcBorders>
            <w:tcMar>
              <w:top w:w="20" w:type="dxa"/>
              <w:left w:w="20" w:type="dxa"/>
              <w:bottom w:w="100" w:type="dxa"/>
              <w:right w:w="20" w:type="dxa"/>
            </w:tcMar>
          </w:tcPr>
          <w:p w14:paraId="25DAE66D" w14:textId="77777777" w:rsidR="00340A38" w:rsidRDefault="00000000">
            <w:pPr>
              <w:spacing w:after="0"/>
              <w:jc w:val="center"/>
              <w:rPr>
                <w:b/>
                <w:sz w:val="18"/>
                <w:szCs w:val="18"/>
              </w:rPr>
            </w:pPr>
            <w:r>
              <w:rPr>
                <w:b/>
                <w:sz w:val="18"/>
                <w:szCs w:val="18"/>
              </w:rPr>
              <w:t>TANG</w:t>
            </w:r>
          </w:p>
        </w:tc>
        <w:tc>
          <w:tcPr>
            <w:tcW w:w="1080" w:type="dxa"/>
            <w:tcBorders>
              <w:top w:val="nil"/>
              <w:left w:val="nil"/>
              <w:bottom w:val="nil"/>
              <w:right w:val="nil"/>
            </w:tcBorders>
            <w:tcMar>
              <w:top w:w="20" w:type="dxa"/>
              <w:left w:w="20" w:type="dxa"/>
              <w:bottom w:w="100" w:type="dxa"/>
              <w:right w:w="20" w:type="dxa"/>
            </w:tcMar>
            <w:vAlign w:val="bottom"/>
          </w:tcPr>
          <w:p w14:paraId="59C6A83B" w14:textId="77777777" w:rsidR="00340A38" w:rsidRDefault="00000000">
            <w:pPr>
              <w:spacing w:after="0"/>
              <w:jc w:val="center"/>
              <w:rPr>
                <w:sz w:val="18"/>
                <w:szCs w:val="18"/>
              </w:rPr>
            </w:pPr>
            <w:r>
              <w:rPr>
                <w:sz w:val="18"/>
                <w:szCs w:val="18"/>
              </w:rPr>
              <w:t>7405</w:t>
            </w:r>
          </w:p>
        </w:tc>
        <w:tc>
          <w:tcPr>
            <w:tcW w:w="1080" w:type="dxa"/>
            <w:tcBorders>
              <w:top w:val="nil"/>
              <w:left w:val="nil"/>
              <w:bottom w:val="nil"/>
              <w:right w:val="nil"/>
            </w:tcBorders>
            <w:tcMar>
              <w:top w:w="20" w:type="dxa"/>
              <w:left w:w="20" w:type="dxa"/>
              <w:bottom w:w="100" w:type="dxa"/>
              <w:right w:w="20" w:type="dxa"/>
            </w:tcMar>
            <w:vAlign w:val="bottom"/>
          </w:tcPr>
          <w:p w14:paraId="3530C7F6" w14:textId="77777777" w:rsidR="00340A38" w:rsidRDefault="00000000">
            <w:pPr>
              <w:spacing w:after="0"/>
              <w:jc w:val="center"/>
              <w:rPr>
                <w:sz w:val="18"/>
                <w:szCs w:val="18"/>
              </w:rPr>
            </w:pPr>
            <w:r>
              <w:rPr>
                <w:sz w:val="18"/>
                <w:szCs w:val="18"/>
              </w:rPr>
              <w:t>0.433949031</w:t>
            </w:r>
          </w:p>
        </w:tc>
        <w:tc>
          <w:tcPr>
            <w:tcW w:w="1065" w:type="dxa"/>
            <w:tcBorders>
              <w:top w:val="nil"/>
              <w:left w:val="nil"/>
              <w:bottom w:val="nil"/>
              <w:right w:val="nil"/>
            </w:tcBorders>
            <w:tcMar>
              <w:top w:w="20" w:type="dxa"/>
              <w:left w:w="20" w:type="dxa"/>
              <w:bottom w:w="100" w:type="dxa"/>
              <w:right w:w="20" w:type="dxa"/>
            </w:tcMar>
            <w:vAlign w:val="bottom"/>
          </w:tcPr>
          <w:p w14:paraId="2B73EAC1" w14:textId="77777777" w:rsidR="00340A38" w:rsidRDefault="00000000">
            <w:pPr>
              <w:spacing w:after="0"/>
              <w:jc w:val="center"/>
              <w:rPr>
                <w:sz w:val="18"/>
                <w:szCs w:val="18"/>
              </w:rPr>
            </w:pPr>
            <w:r>
              <w:rPr>
                <w:sz w:val="18"/>
                <w:szCs w:val="18"/>
              </w:rPr>
              <w:t>0.280982463</w:t>
            </w:r>
          </w:p>
        </w:tc>
        <w:tc>
          <w:tcPr>
            <w:tcW w:w="1065" w:type="dxa"/>
            <w:tcBorders>
              <w:top w:val="nil"/>
              <w:left w:val="nil"/>
              <w:bottom w:val="nil"/>
              <w:right w:val="nil"/>
            </w:tcBorders>
            <w:tcMar>
              <w:top w:w="20" w:type="dxa"/>
              <w:left w:w="20" w:type="dxa"/>
              <w:bottom w:w="100" w:type="dxa"/>
              <w:right w:w="20" w:type="dxa"/>
            </w:tcMar>
            <w:vAlign w:val="bottom"/>
          </w:tcPr>
          <w:p w14:paraId="1901C568" w14:textId="77777777" w:rsidR="00340A38" w:rsidRDefault="00000000">
            <w:pPr>
              <w:spacing w:after="0"/>
              <w:jc w:val="center"/>
              <w:rPr>
                <w:sz w:val="18"/>
                <w:szCs w:val="18"/>
              </w:rPr>
            </w:pPr>
            <w:r>
              <w:rPr>
                <w:sz w:val="18"/>
                <w:szCs w:val="18"/>
              </w:rPr>
              <w:t>-7.259939</w:t>
            </w:r>
          </w:p>
        </w:tc>
        <w:tc>
          <w:tcPr>
            <w:tcW w:w="1050" w:type="dxa"/>
            <w:tcBorders>
              <w:top w:val="nil"/>
              <w:left w:val="nil"/>
              <w:bottom w:val="nil"/>
              <w:right w:val="nil"/>
            </w:tcBorders>
            <w:tcMar>
              <w:top w:w="20" w:type="dxa"/>
              <w:left w:w="20" w:type="dxa"/>
              <w:bottom w:w="100" w:type="dxa"/>
              <w:right w:w="20" w:type="dxa"/>
            </w:tcMar>
            <w:vAlign w:val="bottom"/>
          </w:tcPr>
          <w:p w14:paraId="73FEF1B5" w14:textId="77777777" w:rsidR="00340A38" w:rsidRDefault="00000000">
            <w:pPr>
              <w:spacing w:after="0"/>
              <w:jc w:val="center"/>
              <w:rPr>
                <w:sz w:val="18"/>
                <w:szCs w:val="18"/>
              </w:rPr>
            </w:pPr>
            <w:r>
              <w:rPr>
                <w:sz w:val="18"/>
                <w:szCs w:val="18"/>
              </w:rPr>
              <w:t>0.4315375</w:t>
            </w:r>
          </w:p>
        </w:tc>
        <w:tc>
          <w:tcPr>
            <w:tcW w:w="1050" w:type="dxa"/>
            <w:tcBorders>
              <w:top w:val="nil"/>
              <w:left w:val="nil"/>
              <w:bottom w:val="nil"/>
              <w:right w:val="nil"/>
            </w:tcBorders>
            <w:tcMar>
              <w:top w:w="20" w:type="dxa"/>
              <w:left w:w="20" w:type="dxa"/>
              <w:bottom w:w="100" w:type="dxa"/>
              <w:right w:w="20" w:type="dxa"/>
            </w:tcMar>
            <w:vAlign w:val="bottom"/>
          </w:tcPr>
          <w:p w14:paraId="168B9F2C" w14:textId="77777777" w:rsidR="00340A38" w:rsidRDefault="00000000">
            <w:pPr>
              <w:spacing w:after="0"/>
              <w:jc w:val="center"/>
              <w:rPr>
                <w:sz w:val="18"/>
                <w:szCs w:val="18"/>
              </w:rPr>
            </w:pPr>
            <w:r>
              <w:rPr>
                <w:sz w:val="18"/>
                <w:szCs w:val="18"/>
              </w:rPr>
              <w:t>1.194698</w:t>
            </w:r>
          </w:p>
        </w:tc>
        <w:tc>
          <w:tcPr>
            <w:tcW w:w="1050" w:type="dxa"/>
            <w:tcBorders>
              <w:top w:val="nil"/>
              <w:left w:val="nil"/>
              <w:bottom w:val="nil"/>
              <w:right w:val="nil"/>
            </w:tcBorders>
            <w:tcMar>
              <w:top w:w="20" w:type="dxa"/>
              <w:left w:w="20" w:type="dxa"/>
              <w:bottom w:w="100" w:type="dxa"/>
              <w:right w:w="20" w:type="dxa"/>
            </w:tcMar>
            <w:vAlign w:val="bottom"/>
          </w:tcPr>
          <w:p w14:paraId="05661C8D" w14:textId="77777777" w:rsidR="00340A38" w:rsidRDefault="00000000">
            <w:pPr>
              <w:spacing w:after="0"/>
              <w:jc w:val="center"/>
              <w:rPr>
                <w:sz w:val="18"/>
                <w:szCs w:val="18"/>
              </w:rPr>
            </w:pPr>
            <w:r>
              <w:rPr>
                <w:sz w:val="18"/>
                <w:szCs w:val="18"/>
              </w:rPr>
              <w:t>-7.357118423</w:t>
            </w:r>
          </w:p>
        </w:tc>
        <w:tc>
          <w:tcPr>
            <w:tcW w:w="1050" w:type="dxa"/>
            <w:tcBorders>
              <w:top w:val="nil"/>
              <w:left w:val="nil"/>
              <w:bottom w:val="nil"/>
              <w:right w:val="nil"/>
            </w:tcBorders>
            <w:tcMar>
              <w:top w:w="20" w:type="dxa"/>
              <w:left w:w="20" w:type="dxa"/>
              <w:bottom w:w="100" w:type="dxa"/>
              <w:right w:w="20" w:type="dxa"/>
            </w:tcMar>
            <w:vAlign w:val="bottom"/>
          </w:tcPr>
          <w:p w14:paraId="3961FE3A" w14:textId="77777777" w:rsidR="00340A38" w:rsidRDefault="00000000">
            <w:pPr>
              <w:spacing w:after="0"/>
              <w:jc w:val="center"/>
              <w:rPr>
                <w:sz w:val="18"/>
                <w:szCs w:val="18"/>
              </w:rPr>
            </w:pPr>
            <w:r>
              <w:rPr>
                <w:sz w:val="18"/>
                <w:szCs w:val="18"/>
              </w:rPr>
              <w:t>162.5511924</w:t>
            </w:r>
          </w:p>
        </w:tc>
      </w:tr>
    </w:tbl>
    <w:p w14:paraId="5E3F1F70" w14:textId="77A4B5C2" w:rsidR="00ED6383" w:rsidRDefault="00ED6383" w:rsidP="00ED6383">
      <w:pPr>
        <w:spacing w:after="0" w:line="240" w:lineRule="auto"/>
        <w:rPr>
          <w:b/>
          <w:sz w:val="18"/>
          <w:szCs w:val="18"/>
        </w:rPr>
      </w:pPr>
      <w:r>
        <w:rPr>
          <w:b/>
          <w:sz w:val="18"/>
          <w:szCs w:val="18"/>
        </w:rPr>
        <w:t>Industry</w:t>
      </w:r>
    </w:p>
    <w:p w14:paraId="4CD2C5BF" w14:textId="73860618" w:rsidR="00340A38" w:rsidRDefault="00340A38" w:rsidP="00ED6383">
      <w:pPr>
        <w:spacing w:after="0" w:line="240" w:lineRule="auto"/>
        <w:rPr>
          <w:b/>
          <w:sz w:val="18"/>
          <w:szCs w:val="18"/>
        </w:rPr>
      </w:pPr>
    </w:p>
    <w:p w14:paraId="3493126D" w14:textId="77777777" w:rsidR="00ED6383" w:rsidRDefault="00ED6383" w:rsidP="00ED6383">
      <w:pPr>
        <w:spacing w:after="0" w:line="240" w:lineRule="auto"/>
        <w:rPr>
          <w:b/>
          <w:sz w:val="18"/>
          <w:szCs w:val="18"/>
        </w:rPr>
      </w:pPr>
    </w:p>
    <w:tbl>
      <w:tblPr>
        <w:tblStyle w:val="a3"/>
        <w:tblpPr w:leftFromText="180" w:rightFromText="180" w:topFromText="180" w:bottomFromText="180" w:vertAnchor="text" w:tblpXSpec="center"/>
        <w:tblW w:w="9960" w:type="dxa"/>
        <w:tblBorders>
          <w:top w:val="nil"/>
          <w:left w:val="nil"/>
          <w:bottom w:val="nil"/>
          <w:right w:val="nil"/>
          <w:insideH w:val="nil"/>
          <w:insideV w:val="nil"/>
        </w:tblBorders>
        <w:tblLayout w:type="fixed"/>
        <w:tblLook w:val="0600" w:firstRow="0" w:lastRow="0" w:firstColumn="0" w:lastColumn="0" w:noHBand="1" w:noVBand="1"/>
      </w:tblPr>
      <w:tblGrid>
        <w:gridCol w:w="1350"/>
        <w:gridCol w:w="1080"/>
        <w:gridCol w:w="1080"/>
        <w:gridCol w:w="1080"/>
        <w:gridCol w:w="1080"/>
        <w:gridCol w:w="1080"/>
        <w:gridCol w:w="1080"/>
        <w:gridCol w:w="1065"/>
        <w:gridCol w:w="1065"/>
      </w:tblGrid>
      <w:tr w:rsidR="00340A38" w14:paraId="285E3A2D" w14:textId="77777777" w:rsidTr="00ED6383">
        <w:trPr>
          <w:trHeight w:val="430"/>
        </w:trPr>
        <w:tc>
          <w:tcPr>
            <w:tcW w:w="1350" w:type="dxa"/>
            <w:tcBorders>
              <w:top w:val="nil"/>
              <w:left w:val="nil"/>
              <w:bottom w:val="single" w:sz="3" w:space="0" w:color="000000"/>
              <w:right w:val="nil"/>
            </w:tcBorders>
            <w:tcMar>
              <w:top w:w="20" w:type="dxa"/>
              <w:left w:w="20" w:type="dxa"/>
              <w:right w:w="20" w:type="dxa"/>
            </w:tcMar>
            <w:vAlign w:val="bottom"/>
          </w:tcPr>
          <w:p w14:paraId="4CF9183D" w14:textId="77777777" w:rsidR="00340A38" w:rsidRDefault="00340A38" w:rsidP="00ED6383">
            <w:pPr>
              <w:spacing w:after="0" w:line="240" w:lineRule="auto"/>
              <w:jc w:val="center"/>
              <w:rPr>
                <w:sz w:val="18"/>
                <w:szCs w:val="18"/>
              </w:rPr>
            </w:pPr>
          </w:p>
        </w:tc>
        <w:tc>
          <w:tcPr>
            <w:tcW w:w="1080" w:type="dxa"/>
            <w:tcBorders>
              <w:top w:val="nil"/>
              <w:left w:val="nil"/>
              <w:bottom w:val="single" w:sz="3" w:space="0" w:color="000000"/>
              <w:right w:val="nil"/>
            </w:tcBorders>
            <w:tcMar>
              <w:top w:w="20" w:type="dxa"/>
              <w:left w:w="20" w:type="dxa"/>
              <w:right w:w="20" w:type="dxa"/>
            </w:tcMar>
          </w:tcPr>
          <w:p w14:paraId="0B23AC90" w14:textId="77777777" w:rsidR="00340A38" w:rsidRDefault="00000000" w:rsidP="00ED6383">
            <w:pPr>
              <w:spacing w:after="0" w:line="240" w:lineRule="auto"/>
              <w:jc w:val="center"/>
              <w:rPr>
                <w:sz w:val="18"/>
                <w:szCs w:val="18"/>
              </w:rPr>
            </w:pPr>
            <w:proofErr w:type="spellStart"/>
            <w:r>
              <w:rPr>
                <w:b/>
                <w:sz w:val="18"/>
                <w:szCs w:val="18"/>
              </w:rPr>
              <w:t>Obs</w:t>
            </w:r>
            <w:proofErr w:type="spellEnd"/>
          </w:p>
        </w:tc>
        <w:tc>
          <w:tcPr>
            <w:tcW w:w="1080" w:type="dxa"/>
            <w:tcBorders>
              <w:top w:val="nil"/>
              <w:left w:val="nil"/>
              <w:bottom w:val="single" w:sz="3" w:space="0" w:color="000000"/>
              <w:right w:val="nil"/>
            </w:tcBorders>
            <w:tcMar>
              <w:top w:w="20" w:type="dxa"/>
              <w:left w:w="20" w:type="dxa"/>
              <w:right w:w="20" w:type="dxa"/>
            </w:tcMar>
          </w:tcPr>
          <w:p w14:paraId="729FBFF7" w14:textId="77777777" w:rsidR="00340A38" w:rsidRDefault="00000000" w:rsidP="00ED6383">
            <w:pPr>
              <w:spacing w:after="0" w:line="240" w:lineRule="auto"/>
              <w:jc w:val="center"/>
              <w:rPr>
                <w:sz w:val="18"/>
                <w:szCs w:val="18"/>
              </w:rPr>
            </w:pPr>
            <w:r>
              <w:rPr>
                <w:b/>
                <w:sz w:val="18"/>
                <w:szCs w:val="18"/>
              </w:rPr>
              <w:t>Mean</w:t>
            </w:r>
          </w:p>
        </w:tc>
        <w:tc>
          <w:tcPr>
            <w:tcW w:w="1080" w:type="dxa"/>
            <w:tcBorders>
              <w:top w:val="nil"/>
              <w:left w:val="nil"/>
              <w:bottom w:val="single" w:sz="3" w:space="0" w:color="000000"/>
              <w:right w:val="nil"/>
            </w:tcBorders>
            <w:tcMar>
              <w:top w:w="20" w:type="dxa"/>
              <w:left w:w="20" w:type="dxa"/>
              <w:right w:w="20" w:type="dxa"/>
            </w:tcMar>
          </w:tcPr>
          <w:p w14:paraId="759454A6" w14:textId="77777777" w:rsidR="00340A38" w:rsidRDefault="00000000" w:rsidP="00ED6383">
            <w:pPr>
              <w:spacing w:after="0" w:line="240" w:lineRule="auto"/>
              <w:jc w:val="center"/>
              <w:rPr>
                <w:sz w:val="18"/>
                <w:szCs w:val="18"/>
              </w:rPr>
            </w:pPr>
            <w:r>
              <w:rPr>
                <w:b/>
                <w:sz w:val="18"/>
                <w:szCs w:val="18"/>
              </w:rPr>
              <w:t>Std</w:t>
            </w:r>
          </w:p>
        </w:tc>
        <w:tc>
          <w:tcPr>
            <w:tcW w:w="1080" w:type="dxa"/>
            <w:tcBorders>
              <w:top w:val="nil"/>
              <w:left w:val="nil"/>
              <w:bottom w:val="single" w:sz="3" w:space="0" w:color="000000"/>
              <w:right w:val="nil"/>
            </w:tcBorders>
            <w:tcMar>
              <w:top w:w="20" w:type="dxa"/>
              <w:left w:w="20" w:type="dxa"/>
              <w:right w:w="20" w:type="dxa"/>
            </w:tcMar>
          </w:tcPr>
          <w:p w14:paraId="56805020" w14:textId="77777777" w:rsidR="00340A38" w:rsidRDefault="00000000" w:rsidP="00ED6383">
            <w:pPr>
              <w:spacing w:after="0" w:line="240" w:lineRule="auto"/>
              <w:jc w:val="center"/>
              <w:rPr>
                <w:sz w:val="18"/>
                <w:szCs w:val="18"/>
              </w:rPr>
            </w:pPr>
            <w:r>
              <w:rPr>
                <w:b/>
                <w:sz w:val="18"/>
                <w:szCs w:val="18"/>
              </w:rPr>
              <w:t>Min</w:t>
            </w:r>
          </w:p>
        </w:tc>
        <w:tc>
          <w:tcPr>
            <w:tcW w:w="1080" w:type="dxa"/>
            <w:tcBorders>
              <w:top w:val="nil"/>
              <w:left w:val="nil"/>
              <w:bottom w:val="single" w:sz="3" w:space="0" w:color="000000"/>
              <w:right w:val="nil"/>
            </w:tcBorders>
            <w:tcMar>
              <w:top w:w="20" w:type="dxa"/>
              <w:left w:w="20" w:type="dxa"/>
              <w:right w:w="20" w:type="dxa"/>
            </w:tcMar>
          </w:tcPr>
          <w:p w14:paraId="138EC427" w14:textId="77777777" w:rsidR="00340A38" w:rsidRDefault="00000000" w:rsidP="00ED6383">
            <w:pPr>
              <w:spacing w:after="0" w:line="240" w:lineRule="auto"/>
              <w:jc w:val="center"/>
              <w:rPr>
                <w:sz w:val="18"/>
                <w:szCs w:val="18"/>
              </w:rPr>
            </w:pPr>
            <w:r>
              <w:rPr>
                <w:b/>
                <w:sz w:val="18"/>
                <w:szCs w:val="18"/>
              </w:rPr>
              <w:t>Median</w:t>
            </w:r>
          </w:p>
        </w:tc>
        <w:tc>
          <w:tcPr>
            <w:tcW w:w="1080" w:type="dxa"/>
            <w:tcBorders>
              <w:top w:val="nil"/>
              <w:left w:val="nil"/>
              <w:bottom w:val="single" w:sz="3" w:space="0" w:color="000000"/>
              <w:right w:val="nil"/>
            </w:tcBorders>
            <w:tcMar>
              <w:top w:w="20" w:type="dxa"/>
              <w:left w:w="20" w:type="dxa"/>
              <w:right w:w="20" w:type="dxa"/>
            </w:tcMar>
          </w:tcPr>
          <w:p w14:paraId="6707CE8D" w14:textId="77777777" w:rsidR="00340A38" w:rsidRDefault="00000000" w:rsidP="00ED6383">
            <w:pPr>
              <w:spacing w:after="0" w:line="240" w:lineRule="auto"/>
              <w:jc w:val="center"/>
              <w:rPr>
                <w:sz w:val="18"/>
                <w:szCs w:val="18"/>
              </w:rPr>
            </w:pPr>
            <w:r>
              <w:rPr>
                <w:b/>
                <w:sz w:val="18"/>
                <w:szCs w:val="18"/>
              </w:rPr>
              <w:t>Max</w:t>
            </w:r>
          </w:p>
        </w:tc>
        <w:tc>
          <w:tcPr>
            <w:tcW w:w="1065" w:type="dxa"/>
            <w:tcBorders>
              <w:top w:val="nil"/>
              <w:left w:val="nil"/>
              <w:bottom w:val="single" w:sz="3" w:space="0" w:color="000000"/>
              <w:right w:val="nil"/>
            </w:tcBorders>
            <w:tcMar>
              <w:top w:w="20" w:type="dxa"/>
              <w:left w:w="20" w:type="dxa"/>
              <w:right w:w="20" w:type="dxa"/>
            </w:tcMar>
          </w:tcPr>
          <w:p w14:paraId="318BF4E1" w14:textId="77777777" w:rsidR="00340A38" w:rsidRDefault="00000000" w:rsidP="00ED6383">
            <w:pPr>
              <w:spacing w:after="0" w:line="240" w:lineRule="auto"/>
              <w:jc w:val="center"/>
              <w:rPr>
                <w:sz w:val="18"/>
                <w:szCs w:val="18"/>
              </w:rPr>
            </w:pPr>
            <w:r>
              <w:rPr>
                <w:b/>
                <w:sz w:val="18"/>
                <w:szCs w:val="18"/>
              </w:rPr>
              <w:t>Skewness</w:t>
            </w:r>
          </w:p>
        </w:tc>
        <w:tc>
          <w:tcPr>
            <w:tcW w:w="1065" w:type="dxa"/>
            <w:tcBorders>
              <w:top w:val="nil"/>
              <w:left w:val="nil"/>
              <w:bottom w:val="single" w:sz="3" w:space="0" w:color="000000"/>
              <w:right w:val="nil"/>
            </w:tcBorders>
            <w:tcMar>
              <w:top w:w="20" w:type="dxa"/>
              <w:left w:w="20" w:type="dxa"/>
              <w:right w:w="20" w:type="dxa"/>
            </w:tcMar>
          </w:tcPr>
          <w:p w14:paraId="613E26AA" w14:textId="77777777" w:rsidR="00340A38" w:rsidRDefault="00000000" w:rsidP="00ED6383">
            <w:pPr>
              <w:spacing w:after="0" w:line="240" w:lineRule="auto"/>
              <w:jc w:val="center"/>
              <w:rPr>
                <w:sz w:val="18"/>
                <w:szCs w:val="18"/>
              </w:rPr>
            </w:pPr>
            <w:r>
              <w:rPr>
                <w:b/>
                <w:sz w:val="18"/>
                <w:szCs w:val="18"/>
              </w:rPr>
              <w:t>Kurtosis</w:t>
            </w:r>
          </w:p>
        </w:tc>
      </w:tr>
      <w:tr w:rsidR="00340A38" w14:paraId="50C5579B" w14:textId="77777777" w:rsidTr="00ED6383">
        <w:trPr>
          <w:trHeight w:val="430"/>
        </w:trPr>
        <w:tc>
          <w:tcPr>
            <w:tcW w:w="1350" w:type="dxa"/>
            <w:tcBorders>
              <w:top w:val="single" w:sz="3" w:space="0" w:color="000000"/>
              <w:left w:val="nil"/>
              <w:bottom w:val="nil"/>
              <w:right w:val="nil"/>
            </w:tcBorders>
            <w:tcMar>
              <w:top w:w="20" w:type="dxa"/>
              <w:left w:w="20" w:type="dxa"/>
              <w:right w:w="20" w:type="dxa"/>
            </w:tcMar>
            <w:vAlign w:val="bottom"/>
          </w:tcPr>
          <w:p w14:paraId="41EA91D6" w14:textId="77777777" w:rsidR="00340A38" w:rsidRDefault="00000000" w:rsidP="00ED6383">
            <w:pPr>
              <w:spacing w:after="0" w:line="240" w:lineRule="auto"/>
              <w:jc w:val="center"/>
              <w:rPr>
                <w:sz w:val="18"/>
                <w:szCs w:val="18"/>
              </w:rPr>
            </w:pPr>
            <w:r>
              <w:rPr>
                <w:sz w:val="18"/>
                <w:szCs w:val="18"/>
              </w:rPr>
              <w:t>Agriculture</w:t>
            </w:r>
          </w:p>
        </w:tc>
        <w:tc>
          <w:tcPr>
            <w:tcW w:w="1080" w:type="dxa"/>
            <w:tcBorders>
              <w:top w:val="nil"/>
              <w:left w:val="nil"/>
              <w:bottom w:val="nil"/>
              <w:right w:val="nil"/>
            </w:tcBorders>
            <w:tcMar>
              <w:top w:w="20" w:type="dxa"/>
              <w:left w:w="20" w:type="dxa"/>
              <w:bottom w:w="100" w:type="dxa"/>
              <w:right w:w="20" w:type="dxa"/>
            </w:tcMar>
            <w:vAlign w:val="bottom"/>
          </w:tcPr>
          <w:p w14:paraId="5EE98F24" w14:textId="77777777" w:rsidR="00340A38" w:rsidRDefault="00000000" w:rsidP="00ED6383">
            <w:pPr>
              <w:spacing w:after="0" w:line="240" w:lineRule="auto"/>
              <w:jc w:val="center"/>
              <w:rPr>
                <w:sz w:val="18"/>
                <w:szCs w:val="18"/>
              </w:rPr>
            </w:pPr>
            <w:r>
              <w:rPr>
                <w:sz w:val="18"/>
                <w:szCs w:val="18"/>
              </w:rPr>
              <w:t>96</w:t>
            </w:r>
          </w:p>
        </w:tc>
        <w:tc>
          <w:tcPr>
            <w:tcW w:w="1080" w:type="dxa"/>
            <w:tcBorders>
              <w:top w:val="nil"/>
              <w:left w:val="nil"/>
              <w:bottom w:val="nil"/>
              <w:right w:val="nil"/>
            </w:tcBorders>
            <w:tcMar>
              <w:top w:w="20" w:type="dxa"/>
              <w:left w:w="20" w:type="dxa"/>
              <w:bottom w:w="100" w:type="dxa"/>
              <w:right w:w="20" w:type="dxa"/>
            </w:tcMar>
            <w:vAlign w:val="bottom"/>
          </w:tcPr>
          <w:p w14:paraId="41252E19" w14:textId="77777777" w:rsidR="00340A38" w:rsidRDefault="00000000" w:rsidP="00ED6383">
            <w:pPr>
              <w:spacing w:after="0" w:line="240" w:lineRule="auto"/>
              <w:jc w:val="center"/>
              <w:rPr>
                <w:sz w:val="18"/>
                <w:szCs w:val="18"/>
              </w:rPr>
            </w:pPr>
            <w:r>
              <w:rPr>
                <w:sz w:val="18"/>
                <w:szCs w:val="18"/>
              </w:rPr>
              <w:t>0.491358458</w:t>
            </w:r>
          </w:p>
        </w:tc>
        <w:tc>
          <w:tcPr>
            <w:tcW w:w="1080" w:type="dxa"/>
            <w:tcBorders>
              <w:top w:val="nil"/>
              <w:left w:val="nil"/>
              <w:bottom w:val="nil"/>
              <w:right w:val="nil"/>
            </w:tcBorders>
            <w:tcMar>
              <w:top w:w="20" w:type="dxa"/>
              <w:left w:w="20" w:type="dxa"/>
              <w:bottom w:w="100" w:type="dxa"/>
              <w:right w:w="20" w:type="dxa"/>
            </w:tcMar>
            <w:vAlign w:val="bottom"/>
          </w:tcPr>
          <w:p w14:paraId="4A663CA3" w14:textId="77777777" w:rsidR="00340A38" w:rsidRDefault="00000000" w:rsidP="00ED6383">
            <w:pPr>
              <w:spacing w:after="0" w:line="240" w:lineRule="auto"/>
              <w:jc w:val="center"/>
              <w:rPr>
                <w:sz w:val="18"/>
                <w:szCs w:val="18"/>
              </w:rPr>
            </w:pPr>
            <w:r>
              <w:rPr>
                <w:sz w:val="18"/>
                <w:szCs w:val="18"/>
              </w:rPr>
              <w:t>0.199960031</w:t>
            </w:r>
          </w:p>
        </w:tc>
        <w:tc>
          <w:tcPr>
            <w:tcW w:w="1080" w:type="dxa"/>
            <w:tcBorders>
              <w:top w:val="nil"/>
              <w:left w:val="nil"/>
              <w:bottom w:val="nil"/>
              <w:right w:val="nil"/>
            </w:tcBorders>
            <w:tcMar>
              <w:top w:w="20" w:type="dxa"/>
              <w:left w:w="20" w:type="dxa"/>
              <w:bottom w:w="100" w:type="dxa"/>
              <w:right w:w="20" w:type="dxa"/>
            </w:tcMar>
            <w:vAlign w:val="bottom"/>
          </w:tcPr>
          <w:p w14:paraId="4F3124F6" w14:textId="77777777" w:rsidR="00340A38" w:rsidRDefault="00000000" w:rsidP="00ED6383">
            <w:pPr>
              <w:spacing w:after="0" w:line="240" w:lineRule="auto"/>
              <w:jc w:val="center"/>
              <w:rPr>
                <w:sz w:val="18"/>
                <w:szCs w:val="18"/>
              </w:rPr>
            </w:pPr>
            <w:r>
              <w:rPr>
                <w:sz w:val="18"/>
                <w:szCs w:val="18"/>
              </w:rPr>
              <w:t>0.128862</w:t>
            </w:r>
          </w:p>
        </w:tc>
        <w:tc>
          <w:tcPr>
            <w:tcW w:w="1080" w:type="dxa"/>
            <w:tcBorders>
              <w:top w:val="nil"/>
              <w:left w:val="nil"/>
              <w:bottom w:val="nil"/>
              <w:right w:val="nil"/>
            </w:tcBorders>
            <w:tcMar>
              <w:top w:w="20" w:type="dxa"/>
              <w:left w:w="20" w:type="dxa"/>
              <w:bottom w:w="100" w:type="dxa"/>
              <w:right w:w="20" w:type="dxa"/>
            </w:tcMar>
            <w:vAlign w:val="bottom"/>
          </w:tcPr>
          <w:p w14:paraId="2B63D2DA" w14:textId="77777777" w:rsidR="00340A38" w:rsidRDefault="00000000" w:rsidP="00ED6383">
            <w:pPr>
              <w:spacing w:after="0" w:line="240" w:lineRule="auto"/>
              <w:jc w:val="center"/>
              <w:rPr>
                <w:sz w:val="18"/>
                <w:szCs w:val="18"/>
              </w:rPr>
            </w:pPr>
            <w:r>
              <w:rPr>
                <w:sz w:val="18"/>
                <w:szCs w:val="18"/>
              </w:rPr>
              <w:t>0.493782</w:t>
            </w:r>
          </w:p>
        </w:tc>
        <w:tc>
          <w:tcPr>
            <w:tcW w:w="1080" w:type="dxa"/>
            <w:tcBorders>
              <w:top w:val="nil"/>
              <w:left w:val="nil"/>
              <w:bottom w:val="nil"/>
              <w:right w:val="nil"/>
            </w:tcBorders>
            <w:tcMar>
              <w:top w:w="20" w:type="dxa"/>
              <w:left w:w="20" w:type="dxa"/>
              <w:bottom w:w="100" w:type="dxa"/>
              <w:right w:w="20" w:type="dxa"/>
            </w:tcMar>
            <w:vAlign w:val="bottom"/>
          </w:tcPr>
          <w:p w14:paraId="2F9CB4BC" w14:textId="77777777" w:rsidR="00340A38" w:rsidRDefault="00000000" w:rsidP="00ED6383">
            <w:pPr>
              <w:spacing w:after="0" w:line="240" w:lineRule="auto"/>
              <w:jc w:val="center"/>
              <w:rPr>
                <w:sz w:val="18"/>
                <w:szCs w:val="18"/>
              </w:rPr>
            </w:pPr>
            <w:r>
              <w:rPr>
                <w:sz w:val="18"/>
                <w:szCs w:val="18"/>
              </w:rPr>
              <w:t>0.980071</w:t>
            </w:r>
          </w:p>
        </w:tc>
        <w:tc>
          <w:tcPr>
            <w:tcW w:w="1065" w:type="dxa"/>
            <w:tcBorders>
              <w:top w:val="nil"/>
              <w:left w:val="nil"/>
              <w:bottom w:val="nil"/>
              <w:right w:val="nil"/>
            </w:tcBorders>
            <w:tcMar>
              <w:top w:w="20" w:type="dxa"/>
              <w:left w:w="20" w:type="dxa"/>
              <w:bottom w:w="100" w:type="dxa"/>
              <w:right w:w="20" w:type="dxa"/>
            </w:tcMar>
            <w:vAlign w:val="bottom"/>
          </w:tcPr>
          <w:p w14:paraId="29CE6B56" w14:textId="77777777" w:rsidR="00340A38" w:rsidRDefault="00000000" w:rsidP="00ED6383">
            <w:pPr>
              <w:spacing w:after="0" w:line="240" w:lineRule="auto"/>
              <w:jc w:val="center"/>
              <w:rPr>
                <w:sz w:val="18"/>
                <w:szCs w:val="18"/>
              </w:rPr>
            </w:pPr>
            <w:r>
              <w:rPr>
                <w:sz w:val="18"/>
                <w:szCs w:val="18"/>
              </w:rPr>
              <w:t>0.478546209</w:t>
            </w:r>
          </w:p>
        </w:tc>
        <w:tc>
          <w:tcPr>
            <w:tcW w:w="1065" w:type="dxa"/>
            <w:tcBorders>
              <w:top w:val="nil"/>
              <w:left w:val="nil"/>
              <w:bottom w:val="nil"/>
              <w:right w:val="nil"/>
            </w:tcBorders>
            <w:tcMar>
              <w:top w:w="20" w:type="dxa"/>
              <w:left w:w="20" w:type="dxa"/>
              <w:bottom w:w="100" w:type="dxa"/>
              <w:right w:w="20" w:type="dxa"/>
            </w:tcMar>
            <w:vAlign w:val="bottom"/>
          </w:tcPr>
          <w:p w14:paraId="6EF89051" w14:textId="77777777" w:rsidR="00340A38" w:rsidRDefault="00000000" w:rsidP="00ED6383">
            <w:pPr>
              <w:spacing w:after="0" w:line="240" w:lineRule="auto"/>
              <w:jc w:val="center"/>
              <w:rPr>
                <w:sz w:val="18"/>
                <w:szCs w:val="18"/>
              </w:rPr>
            </w:pPr>
            <w:r>
              <w:rPr>
                <w:sz w:val="18"/>
                <w:szCs w:val="18"/>
              </w:rPr>
              <w:t>-0.228452134</w:t>
            </w:r>
          </w:p>
        </w:tc>
      </w:tr>
      <w:tr w:rsidR="00340A38" w14:paraId="07D14F0E" w14:textId="77777777" w:rsidTr="00ED6383">
        <w:trPr>
          <w:trHeight w:val="430"/>
        </w:trPr>
        <w:tc>
          <w:tcPr>
            <w:tcW w:w="1350" w:type="dxa"/>
            <w:tcBorders>
              <w:top w:val="nil"/>
              <w:left w:val="nil"/>
              <w:bottom w:val="nil"/>
              <w:right w:val="nil"/>
            </w:tcBorders>
            <w:tcMar>
              <w:top w:w="20" w:type="dxa"/>
              <w:left w:w="20" w:type="dxa"/>
              <w:right w:w="20" w:type="dxa"/>
            </w:tcMar>
            <w:vAlign w:val="bottom"/>
          </w:tcPr>
          <w:p w14:paraId="3DBEA99A" w14:textId="77777777" w:rsidR="00340A38" w:rsidRDefault="00000000" w:rsidP="00ED6383">
            <w:pPr>
              <w:spacing w:after="0" w:line="240" w:lineRule="auto"/>
              <w:jc w:val="center"/>
              <w:rPr>
                <w:sz w:val="18"/>
                <w:szCs w:val="18"/>
              </w:rPr>
            </w:pPr>
            <w:r>
              <w:rPr>
                <w:sz w:val="18"/>
                <w:szCs w:val="18"/>
              </w:rPr>
              <w:t>Mining</w:t>
            </w:r>
          </w:p>
        </w:tc>
        <w:tc>
          <w:tcPr>
            <w:tcW w:w="1080" w:type="dxa"/>
            <w:tcBorders>
              <w:top w:val="nil"/>
              <w:left w:val="nil"/>
              <w:bottom w:val="nil"/>
              <w:right w:val="nil"/>
            </w:tcBorders>
            <w:tcMar>
              <w:top w:w="20" w:type="dxa"/>
              <w:left w:w="20" w:type="dxa"/>
              <w:bottom w:w="100" w:type="dxa"/>
              <w:right w:w="20" w:type="dxa"/>
            </w:tcMar>
            <w:vAlign w:val="bottom"/>
          </w:tcPr>
          <w:p w14:paraId="567D600C" w14:textId="77777777" w:rsidR="00340A38" w:rsidRDefault="00000000" w:rsidP="00ED6383">
            <w:pPr>
              <w:spacing w:after="0" w:line="240" w:lineRule="auto"/>
              <w:jc w:val="center"/>
              <w:rPr>
                <w:sz w:val="18"/>
                <w:szCs w:val="18"/>
              </w:rPr>
            </w:pPr>
            <w:r>
              <w:rPr>
                <w:sz w:val="18"/>
                <w:szCs w:val="18"/>
              </w:rPr>
              <w:t>132</w:t>
            </w:r>
          </w:p>
        </w:tc>
        <w:tc>
          <w:tcPr>
            <w:tcW w:w="1080" w:type="dxa"/>
            <w:tcBorders>
              <w:top w:val="nil"/>
              <w:left w:val="nil"/>
              <w:bottom w:val="nil"/>
              <w:right w:val="nil"/>
            </w:tcBorders>
            <w:tcMar>
              <w:top w:w="20" w:type="dxa"/>
              <w:left w:w="20" w:type="dxa"/>
              <w:bottom w:w="100" w:type="dxa"/>
              <w:right w:w="20" w:type="dxa"/>
            </w:tcMar>
            <w:vAlign w:val="bottom"/>
          </w:tcPr>
          <w:p w14:paraId="22DA83CE" w14:textId="77777777" w:rsidR="00340A38" w:rsidRDefault="00000000" w:rsidP="00ED6383">
            <w:pPr>
              <w:spacing w:after="0" w:line="240" w:lineRule="auto"/>
              <w:jc w:val="center"/>
              <w:rPr>
                <w:sz w:val="18"/>
                <w:szCs w:val="18"/>
              </w:rPr>
            </w:pPr>
            <w:r>
              <w:rPr>
                <w:sz w:val="18"/>
                <w:szCs w:val="18"/>
              </w:rPr>
              <w:t>0.482200811</w:t>
            </w:r>
          </w:p>
        </w:tc>
        <w:tc>
          <w:tcPr>
            <w:tcW w:w="1080" w:type="dxa"/>
            <w:tcBorders>
              <w:top w:val="nil"/>
              <w:left w:val="nil"/>
              <w:bottom w:val="nil"/>
              <w:right w:val="nil"/>
            </w:tcBorders>
            <w:tcMar>
              <w:top w:w="20" w:type="dxa"/>
              <w:left w:w="20" w:type="dxa"/>
              <w:bottom w:w="100" w:type="dxa"/>
              <w:right w:w="20" w:type="dxa"/>
            </w:tcMar>
            <w:vAlign w:val="bottom"/>
          </w:tcPr>
          <w:p w14:paraId="33FF2857" w14:textId="77777777" w:rsidR="00340A38" w:rsidRDefault="00000000" w:rsidP="00ED6383">
            <w:pPr>
              <w:spacing w:after="0" w:line="240" w:lineRule="auto"/>
              <w:jc w:val="center"/>
              <w:rPr>
                <w:sz w:val="18"/>
                <w:szCs w:val="18"/>
              </w:rPr>
            </w:pPr>
            <w:r>
              <w:rPr>
                <w:sz w:val="18"/>
                <w:szCs w:val="18"/>
              </w:rPr>
              <w:t>0.186091263</w:t>
            </w:r>
          </w:p>
        </w:tc>
        <w:tc>
          <w:tcPr>
            <w:tcW w:w="1080" w:type="dxa"/>
            <w:tcBorders>
              <w:top w:val="nil"/>
              <w:left w:val="nil"/>
              <w:bottom w:val="nil"/>
              <w:right w:val="nil"/>
            </w:tcBorders>
            <w:tcMar>
              <w:top w:w="20" w:type="dxa"/>
              <w:left w:w="20" w:type="dxa"/>
              <w:bottom w:w="100" w:type="dxa"/>
              <w:right w:w="20" w:type="dxa"/>
            </w:tcMar>
            <w:vAlign w:val="bottom"/>
          </w:tcPr>
          <w:p w14:paraId="5EBB556A" w14:textId="77777777" w:rsidR="00340A38" w:rsidRDefault="00000000" w:rsidP="00ED6383">
            <w:pPr>
              <w:spacing w:after="0" w:line="240" w:lineRule="auto"/>
              <w:jc w:val="center"/>
              <w:rPr>
                <w:sz w:val="18"/>
                <w:szCs w:val="18"/>
              </w:rPr>
            </w:pPr>
            <w:r>
              <w:rPr>
                <w:sz w:val="18"/>
                <w:szCs w:val="18"/>
              </w:rPr>
              <w:t>0.020274</w:t>
            </w:r>
          </w:p>
        </w:tc>
        <w:tc>
          <w:tcPr>
            <w:tcW w:w="1080" w:type="dxa"/>
            <w:tcBorders>
              <w:top w:val="nil"/>
              <w:left w:val="nil"/>
              <w:bottom w:val="nil"/>
              <w:right w:val="nil"/>
            </w:tcBorders>
            <w:tcMar>
              <w:top w:w="20" w:type="dxa"/>
              <w:left w:w="20" w:type="dxa"/>
              <w:bottom w:w="100" w:type="dxa"/>
              <w:right w:w="20" w:type="dxa"/>
            </w:tcMar>
            <w:vAlign w:val="bottom"/>
          </w:tcPr>
          <w:p w14:paraId="53C8AC1B" w14:textId="77777777" w:rsidR="00340A38" w:rsidRDefault="00000000" w:rsidP="00ED6383">
            <w:pPr>
              <w:spacing w:after="0" w:line="240" w:lineRule="auto"/>
              <w:jc w:val="center"/>
              <w:rPr>
                <w:sz w:val="18"/>
                <w:szCs w:val="18"/>
              </w:rPr>
            </w:pPr>
            <w:r>
              <w:rPr>
                <w:sz w:val="18"/>
                <w:szCs w:val="18"/>
              </w:rPr>
              <w:t>0.531578</w:t>
            </w:r>
          </w:p>
        </w:tc>
        <w:tc>
          <w:tcPr>
            <w:tcW w:w="1080" w:type="dxa"/>
            <w:tcBorders>
              <w:top w:val="nil"/>
              <w:left w:val="nil"/>
              <w:bottom w:val="nil"/>
              <w:right w:val="nil"/>
            </w:tcBorders>
            <w:tcMar>
              <w:top w:w="20" w:type="dxa"/>
              <w:left w:w="20" w:type="dxa"/>
              <w:bottom w:w="100" w:type="dxa"/>
              <w:right w:w="20" w:type="dxa"/>
            </w:tcMar>
            <w:vAlign w:val="bottom"/>
          </w:tcPr>
          <w:p w14:paraId="547F7787" w14:textId="77777777" w:rsidR="00340A38" w:rsidRDefault="00000000" w:rsidP="00ED6383">
            <w:pPr>
              <w:spacing w:after="0" w:line="240" w:lineRule="auto"/>
              <w:jc w:val="center"/>
              <w:rPr>
                <w:sz w:val="18"/>
                <w:szCs w:val="18"/>
              </w:rPr>
            </w:pPr>
            <w:r>
              <w:rPr>
                <w:sz w:val="18"/>
                <w:szCs w:val="18"/>
              </w:rPr>
              <w:t>0.953082</w:t>
            </w:r>
          </w:p>
        </w:tc>
        <w:tc>
          <w:tcPr>
            <w:tcW w:w="1065" w:type="dxa"/>
            <w:tcBorders>
              <w:top w:val="nil"/>
              <w:left w:val="nil"/>
              <w:bottom w:val="nil"/>
              <w:right w:val="nil"/>
            </w:tcBorders>
            <w:tcMar>
              <w:top w:w="20" w:type="dxa"/>
              <w:left w:w="20" w:type="dxa"/>
              <w:bottom w:w="100" w:type="dxa"/>
              <w:right w:w="20" w:type="dxa"/>
            </w:tcMar>
            <w:vAlign w:val="bottom"/>
          </w:tcPr>
          <w:p w14:paraId="39194937" w14:textId="77777777" w:rsidR="00340A38" w:rsidRDefault="00000000" w:rsidP="00ED6383">
            <w:pPr>
              <w:spacing w:after="0" w:line="240" w:lineRule="auto"/>
              <w:jc w:val="center"/>
              <w:rPr>
                <w:sz w:val="18"/>
                <w:szCs w:val="18"/>
              </w:rPr>
            </w:pPr>
            <w:r>
              <w:rPr>
                <w:sz w:val="18"/>
                <w:szCs w:val="18"/>
              </w:rPr>
              <w:t>-0.53221378</w:t>
            </w:r>
          </w:p>
        </w:tc>
        <w:tc>
          <w:tcPr>
            <w:tcW w:w="1065" w:type="dxa"/>
            <w:tcBorders>
              <w:top w:val="nil"/>
              <w:left w:val="nil"/>
              <w:bottom w:val="nil"/>
              <w:right w:val="nil"/>
            </w:tcBorders>
            <w:tcMar>
              <w:top w:w="20" w:type="dxa"/>
              <w:left w:w="20" w:type="dxa"/>
              <w:bottom w:w="100" w:type="dxa"/>
              <w:right w:w="20" w:type="dxa"/>
            </w:tcMar>
            <w:vAlign w:val="bottom"/>
          </w:tcPr>
          <w:p w14:paraId="1A1A8E49" w14:textId="77777777" w:rsidR="00340A38" w:rsidRDefault="00000000" w:rsidP="00ED6383">
            <w:pPr>
              <w:spacing w:after="0" w:line="240" w:lineRule="auto"/>
              <w:jc w:val="center"/>
              <w:rPr>
                <w:sz w:val="18"/>
                <w:szCs w:val="18"/>
              </w:rPr>
            </w:pPr>
            <w:r>
              <w:rPr>
                <w:sz w:val="18"/>
                <w:szCs w:val="18"/>
              </w:rPr>
              <w:t>0.13687069</w:t>
            </w:r>
          </w:p>
        </w:tc>
      </w:tr>
      <w:tr w:rsidR="00340A38" w14:paraId="6B45D426" w14:textId="77777777" w:rsidTr="00ED6383">
        <w:trPr>
          <w:trHeight w:val="430"/>
        </w:trPr>
        <w:tc>
          <w:tcPr>
            <w:tcW w:w="1350" w:type="dxa"/>
            <w:tcBorders>
              <w:top w:val="nil"/>
              <w:left w:val="nil"/>
              <w:bottom w:val="nil"/>
              <w:right w:val="nil"/>
            </w:tcBorders>
            <w:tcMar>
              <w:top w:w="20" w:type="dxa"/>
              <w:left w:w="20" w:type="dxa"/>
              <w:right w:w="20" w:type="dxa"/>
            </w:tcMar>
            <w:vAlign w:val="bottom"/>
          </w:tcPr>
          <w:p w14:paraId="03D278F9" w14:textId="77777777" w:rsidR="00340A38" w:rsidRDefault="00000000" w:rsidP="00ED6383">
            <w:pPr>
              <w:spacing w:after="0" w:line="240" w:lineRule="auto"/>
              <w:jc w:val="center"/>
              <w:rPr>
                <w:sz w:val="18"/>
                <w:szCs w:val="18"/>
              </w:rPr>
            </w:pPr>
            <w:r>
              <w:rPr>
                <w:sz w:val="18"/>
                <w:szCs w:val="18"/>
              </w:rPr>
              <w:t>Manufacturing</w:t>
            </w:r>
          </w:p>
        </w:tc>
        <w:tc>
          <w:tcPr>
            <w:tcW w:w="1080" w:type="dxa"/>
            <w:tcBorders>
              <w:top w:val="nil"/>
              <w:left w:val="nil"/>
              <w:bottom w:val="nil"/>
              <w:right w:val="nil"/>
            </w:tcBorders>
            <w:tcMar>
              <w:top w:w="20" w:type="dxa"/>
              <w:left w:w="20" w:type="dxa"/>
              <w:bottom w:w="100" w:type="dxa"/>
              <w:right w:w="20" w:type="dxa"/>
            </w:tcMar>
            <w:vAlign w:val="bottom"/>
          </w:tcPr>
          <w:p w14:paraId="3C77945E" w14:textId="77777777" w:rsidR="00340A38" w:rsidRDefault="00000000" w:rsidP="00ED6383">
            <w:pPr>
              <w:spacing w:after="0" w:line="240" w:lineRule="auto"/>
              <w:jc w:val="center"/>
              <w:rPr>
                <w:sz w:val="18"/>
                <w:szCs w:val="18"/>
              </w:rPr>
            </w:pPr>
            <w:r>
              <w:rPr>
                <w:sz w:val="18"/>
                <w:szCs w:val="18"/>
              </w:rPr>
              <w:t>4968</w:t>
            </w:r>
          </w:p>
        </w:tc>
        <w:tc>
          <w:tcPr>
            <w:tcW w:w="1080" w:type="dxa"/>
            <w:tcBorders>
              <w:top w:val="nil"/>
              <w:left w:val="nil"/>
              <w:bottom w:val="nil"/>
              <w:right w:val="nil"/>
            </w:tcBorders>
            <w:tcMar>
              <w:top w:w="20" w:type="dxa"/>
              <w:left w:w="20" w:type="dxa"/>
              <w:bottom w:w="100" w:type="dxa"/>
              <w:right w:w="20" w:type="dxa"/>
            </w:tcMar>
            <w:vAlign w:val="bottom"/>
          </w:tcPr>
          <w:p w14:paraId="52839E8F" w14:textId="77777777" w:rsidR="00340A38" w:rsidRDefault="00000000" w:rsidP="00ED6383">
            <w:pPr>
              <w:spacing w:after="0" w:line="240" w:lineRule="auto"/>
              <w:jc w:val="center"/>
              <w:rPr>
                <w:sz w:val="18"/>
                <w:szCs w:val="18"/>
              </w:rPr>
            </w:pPr>
            <w:r>
              <w:rPr>
                <w:sz w:val="18"/>
                <w:szCs w:val="18"/>
              </w:rPr>
              <w:t>0.412665343</w:t>
            </w:r>
          </w:p>
        </w:tc>
        <w:tc>
          <w:tcPr>
            <w:tcW w:w="1080" w:type="dxa"/>
            <w:tcBorders>
              <w:top w:val="nil"/>
              <w:left w:val="nil"/>
              <w:bottom w:val="nil"/>
              <w:right w:val="nil"/>
            </w:tcBorders>
            <w:tcMar>
              <w:top w:w="20" w:type="dxa"/>
              <w:left w:w="20" w:type="dxa"/>
              <w:bottom w:w="100" w:type="dxa"/>
              <w:right w:w="20" w:type="dxa"/>
            </w:tcMar>
            <w:vAlign w:val="bottom"/>
          </w:tcPr>
          <w:p w14:paraId="1E66A792" w14:textId="77777777" w:rsidR="00340A38" w:rsidRDefault="00000000" w:rsidP="00ED6383">
            <w:pPr>
              <w:spacing w:after="0" w:line="240" w:lineRule="auto"/>
              <w:jc w:val="center"/>
              <w:rPr>
                <w:sz w:val="18"/>
                <w:szCs w:val="18"/>
              </w:rPr>
            </w:pPr>
            <w:r>
              <w:rPr>
                <w:sz w:val="18"/>
                <w:szCs w:val="18"/>
              </w:rPr>
              <w:t>0.203770513</w:t>
            </w:r>
          </w:p>
        </w:tc>
        <w:tc>
          <w:tcPr>
            <w:tcW w:w="1080" w:type="dxa"/>
            <w:tcBorders>
              <w:top w:val="nil"/>
              <w:left w:val="nil"/>
              <w:bottom w:val="nil"/>
              <w:right w:val="nil"/>
            </w:tcBorders>
            <w:tcMar>
              <w:top w:w="20" w:type="dxa"/>
              <w:left w:w="20" w:type="dxa"/>
              <w:bottom w:w="100" w:type="dxa"/>
              <w:right w:w="20" w:type="dxa"/>
            </w:tcMar>
            <w:vAlign w:val="bottom"/>
          </w:tcPr>
          <w:p w14:paraId="63375AC9" w14:textId="77777777" w:rsidR="00340A38" w:rsidRDefault="00000000" w:rsidP="00ED6383">
            <w:pPr>
              <w:spacing w:after="0" w:line="240" w:lineRule="auto"/>
              <w:jc w:val="center"/>
              <w:rPr>
                <w:sz w:val="18"/>
                <w:szCs w:val="18"/>
              </w:rPr>
            </w:pPr>
            <w:r>
              <w:rPr>
                <w:sz w:val="18"/>
                <w:szCs w:val="18"/>
              </w:rPr>
              <w:t>0.007521</w:t>
            </w:r>
          </w:p>
        </w:tc>
        <w:tc>
          <w:tcPr>
            <w:tcW w:w="1080" w:type="dxa"/>
            <w:tcBorders>
              <w:top w:val="nil"/>
              <w:left w:val="nil"/>
              <w:bottom w:val="nil"/>
              <w:right w:val="nil"/>
            </w:tcBorders>
            <w:tcMar>
              <w:top w:w="20" w:type="dxa"/>
              <w:left w:w="20" w:type="dxa"/>
              <w:bottom w:w="100" w:type="dxa"/>
              <w:right w:w="20" w:type="dxa"/>
            </w:tcMar>
            <w:vAlign w:val="bottom"/>
          </w:tcPr>
          <w:p w14:paraId="5DA2CD8D" w14:textId="77777777" w:rsidR="00340A38" w:rsidRDefault="00000000" w:rsidP="00ED6383">
            <w:pPr>
              <w:spacing w:after="0" w:line="240" w:lineRule="auto"/>
              <w:jc w:val="center"/>
              <w:rPr>
                <w:sz w:val="18"/>
                <w:szCs w:val="18"/>
              </w:rPr>
            </w:pPr>
            <w:r>
              <w:rPr>
                <w:sz w:val="18"/>
                <w:szCs w:val="18"/>
              </w:rPr>
              <w:t>0.4069565</w:t>
            </w:r>
          </w:p>
        </w:tc>
        <w:tc>
          <w:tcPr>
            <w:tcW w:w="1080" w:type="dxa"/>
            <w:tcBorders>
              <w:top w:val="nil"/>
              <w:left w:val="nil"/>
              <w:bottom w:val="nil"/>
              <w:right w:val="nil"/>
            </w:tcBorders>
            <w:tcMar>
              <w:top w:w="20" w:type="dxa"/>
              <w:left w:w="20" w:type="dxa"/>
              <w:bottom w:w="100" w:type="dxa"/>
              <w:right w:w="20" w:type="dxa"/>
            </w:tcMar>
            <w:vAlign w:val="bottom"/>
          </w:tcPr>
          <w:p w14:paraId="49B46FB7" w14:textId="77777777" w:rsidR="00340A38" w:rsidRDefault="00000000" w:rsidP="00ED6383">
            <w:pPr>
              <w:spacing w:after="0" w:line="240" w:lineRule="auto"/>
              <w:jc w:val="center"/>
              <w:rPr>
                <w:sz w:val="18"/>
                <w:szCs w:val="18"/>
              </w:rPr>
            </w:pPr>
            <w:r>
              <w:rPr>
                <w:sz w:val="18"/>
                <w:szCs w:val="18"/>
              </w:rPr>
              <w:t>2.848743</w:t>
            </w:r>
          </w:p>
        </w:tc>
        <w:tc>
          <w:tcPr>
            <w:tcW w:w="1065" w:type="dxa"/>
            <w:tcBorders>
              <w:top w:val="nil"/>
              <w:left w:val="nil"/>
              <w:bottom w:val="nil"/>
              <w:right w:val="nil"/>
            </w:tcBorders>
            <w:tcMar>
              <w:top w:w="20" w:type="dxa"/>
              <w:left w:w="20" w:type="dxa"/>
              <w:bottom w:w="100" w:type="dxa"/>
              <w:right w:w="20" w:type="dxa"/>
            </w:tcMar>
            <w:vAlign w:val="bottom"/>
          </w:tcPr>
          <w:p w14:paraId="2A2EA2FD" w14:textId="77777777" w:rsidR="00340A38" w:rsidRDefault="00000000" w:rsidP="00ED6383">
            <w:pPr>
              <w:spacing w:after="0" w:line="240" w:lineRule="auto"/>
              <w:jc w:val="center"/>
              <w:rPr>
                <w:sz w:val="18"/>
                <w:szCs w:val="18"/>
              </w:rPr>
            </w:pPr>
            <w:r>
              <w:rPr>
                <w:sz w:val="18"/>
                <w:szCs w:val="18"/>
              </w:rPr>
              <w:t>0.833687506</w:t>
            </w:r>
          </w:p>
        </w:tc>
        <w:tc>
          <w:tcPr>
            <w:tcW w:w="1065" w:type="dxa"/>
            <w:tcBorders>
              <w:top w:val="nil"/>
              <w:left w:val="nil"/>
              <w:bottom w:val="nil"/>
              <w:right w:val="nil"/>
            </w:tcBorders>
            <w:tcMar>
              <w:top w:w="20" w:type="dxa"/>
              <w:left w:w="20" w:type="dxa"/>
              <w:bottom w:w="100" w:type="dxa"/>
              <w:right w:w="20" w:type="dxa"/>
            </w:tcMar>
            <w:vAlign w:val="bottom"/>
          </w:tcPr>
          <w:p w14:paraId="5A2F7FC7" w14:textId="77777777" w:rsidR="00340A38" w:rsidRDefault="00000000" w:rsidP="00ED6383">
            <w:pPr>
              <w:spacing w:after="0" w:line="240" w:lineRule="auto"/>
              <w:jc w:val="center"/>
              <w:rPr>
                <w:sz w:val="18"/>
                <w:szCs w:val="18"/>
              </w:rPr>
            </w:pPr>
            <w:r>
              <w:rPr>
                <w:sz w:val="18"/>
                <w:szCs w:val="18"/>
              </w:rPr>
              <w:t>5.664166899</w:t>
            </w:r>
          </w:p>
        </w:tc>
      </w:tr>
      <w:tr w:rsidR="00340A38" w14:paraId="0FEF63EB" w14:textId="77777777" w:rsidTr="00ED6383">
        <w:trPr>
          <w:trHeight w:val="430"/>
        </w:trPr>
        <w:tc>
          <w:tcPr>
            <w:tcW w:w="1350" w:type="dxa"/>
            <w:tcBorders>
              <w:top w:val="nil"/>
              <w:left w:val="nil"/>
              <w:bottom w:val="nil"/>
              <w:right w:val="nil"/>
            </w:tcBorders>
            <w:tcMar>
              <w:top w:w="20" w:type="dxa"/>
              <w:left w:w="20" w:type="dxa"/>
              <w:right w:w="20" w:type="dxa"/>
            </w:tcMar>
            <w:vAlign w:val="bottom"/>
          </w:tcPr>
          <w:p w14:paraId="70E8B45B" w14:textId="77777777" w:rsidR="00340A38" w:rsidRDefault="00000000" w:rsidP="00ED6383">
            <w:pPr>
              <w:spacing w:after="0" w:line="240" w:lineRule="auto"/>
              <w:jc w:val="center"/>
              <w:rPr>
                <w:sz w:val="18"/>
                <w:szCs w:val="18"/>
              </w:rPr>
            </w:pPr>
            <w:r>
              <w:rPr>
                <w:sz w:val="18"/>
                <w:szCs w:val="18"/>
              </w:rPr>
              <w:t>Utilities</w:t>
            </w:r>
          </w:p>
        </w:tc>
        <w:tc>
          <w:tcPr>
            <w:tcW w:w="1080" w:type="dxa"/>
            <w:tcBorders>
              <w:top w:val="nil"/>
              <w:left w:val="nil"/>
              <w:bottom w:val="nil"/>
              <w:right w:val="nil"/>
            </w:tcBorders>
            <w:tcMar>
              <w:top w:w="20" w:type="dxa"/>
              <w:left w:w="20" w:type="dxa"/>
              <w:bottom w:w="100" w:type="dxa"/>
              <w:right w:w="20" w:type="dxa"/>
            </w:tcMar>
            <w:vAlign w:val="bottom"/>
          </w:tcPr>
          <w:p w14:paraId="2A5BFF52" w14:textId="77777777" w:rsidR="00340A38" w:rsidRDefault="00000000" w:rsidP="00ED6383">
            <w:pPr>
              <w:spacing w:after="0" w:line="240" w:lineRule="auto"/>
              <w:jc w:val="center"/>
              <w:rPr>
                <w:sz w:val="18"/>
                <w:szCs w:val="18"/>
              </w:rPr>
            </w:pPr>
            <w:r>
              <w:rPr>
                <w:sz w:val="18"/>
                <w:szCs w:val="18"/>
              </w:rPr>
              <w:t>180</w:t>
            </w:r>
          </w:p>
        </w:tc>
        <w:tc>
          <w:tcPr>
            <w:tcW w:w="1080" w:type="dxa"/>
            <w:tcBorders>
              <w:top w:val="nil"/>
              <w:left w:val="nil"/>
              <w:bottom w:val="nil"/>
              <w:right w:val="nil"/>
            </w:tcBorders>
            <w:tcMar>
              <w:top w:w="20" w:type="dxa"/>
              <w:left w:w="20" w:type="dxa"/>
              <w:bottom w:w="100" w:type="dxa"/>
              <w:right w:w="20" w:type="dxa"/>
            </w:tcMar>
            <w:vAlign w:val="bottom"/>
          </w:tcPr>
          <w:p w14:paraId="265EB4CC" w14:textId="77777777" w:rsidR="00340A38" w:rsidRDefault="00000000" w:rsidP="00ED6383">
            <w:pPr>
              <w:spacing w:after="0" w:line="240" w:lineRule="auto"/>
              <w:jc w:val="center"/>
              <w:rPr>
                <w:sz w:val="18"/>
                <w:szCs w:val="18"/>
              </w:rPr>
            </w:pPr>
            <w:r>
              <w:rPr>
                <w:sz w:val="18"/>
                <w:szCs w:val="18"/>
              </w:rPr>
              <w:t>0.604999289</w:t>
            </w:r>
          </w:p>
        </w:tc>
        <w:tc>
          <w:tcPr>
            <w:tcW w:w="1080" w:type="dxa"/>
            <w:tcBorders>
              <w:top w:val="nil"/>
              <w:left w:val="nil"/>
              <w:bottom w:val="nil"/>
              <w:right w:val="nil"/>
            </w:tcBorders>
            <w:tcMar>
              <w:top w:w="20" w:type="dxa"/>
              <w:left w:w="20" w:type="dxa"/>
              <w:bottom w:w="100" w:type="dxa"/>
              <w:right w:w="20" w:type="dxa"/>
            </w:tcMar>
            <w:vAlign w:val="bottom"/>
          </w:tcPr>
          <w:p w14:paraId="1A4ABEF1" w14:textId="77777777" w:rsidR="00340A38" w:rsidRDefault="00000000" w:rsidP="00ED6383">
            <w:pPr>
              <w:spacing w:after="0" w:line="240" w:lineRule="auto"/>
              <w:jc w:val="center"/>
              <w:rPr>
                <w:sz w:val="18"/>
                <w:szCs w:val="18"/>
              </w:rPr>
            </w:pPr>
            <w:r>
              <w:rPr>
                <w:sz w:val="18"/>
                <w:szCs w:val="18"/>
              </w:rPr>
              <w:t>0.215283351</w:t>
            </w:r>
          </w:p>
        </w:tc>
        <w:tc>
          <w:tcPr>
            <w:tcW w:w="1080" w:type="dxa"/>
            <w:tcBorders>
              <w:top w:val="nil"/>
              <w:left w:val="nil"/>
              <w:bottom w:val="nil"/>
              <w:right w:val="nil"/>
            </w:tcBorders>
            <w:tcMar>
              <w:top w:w="20" w:type="dxa"/>
              <w:left w:w="20" w:type="dxa"/>
              <w:bottom w:w="100" w:type="dxa"/>
              <w:right w:w="20" w:type="dxa"/>
            </w:tcMar>
            <w:vAlign w:val="bottom"/>
          </w:tcPr>
          <w:p w14:paraId="408BEC4E" w14:textId="77777777" w:rsidR="00340A38" w:rsidRDefault="00000000" w:rsidP="00ED6383">
            <w:pPr>
              <w:spacing w:after="0" w:line="240" w:lineRule="auto"/>
              <w:jc w:val="center"/>
              <w:rPr>
                <w:sz w:val="18"/>
                <w:szCs w:val="18"/>
              </w:rPr>
            </w:pPr>
            <w:r>
              <w:rPr>
                <w:sz w:val="18"/>
                <w:szCs w:val="18"/>
              </w:rPr>
              <w:t>0.057358</w:t>
            </w:r>
          </w:p>
        </w:tc>
        <w:tc>
          <w:tcPr>
            <w:tcW w:w="1080" w:type="dxa"/>
            <w:tcBorders>
              <w:top w:val="nil"/>
              <w:left w:val="nil"/>
              <w:bottom w:val="nil"/>
              <w:right w:val="nil"/>
            </w:tcBorders>
            <w:tcMar>
              <w:top w:w="20" w:type="dxa"/>
              <w:left w:w="20" w:type="dxa"/>
              <w:bottom w:w="100" w:type="dxa"/>
              <w:right w:w="20" w:type="dxa"/>
            </w:tcMar>
            <w:vAlign w:val="bottom"/>
          </w:tcPr>
          <w:p w14:paraId="52F5547C" w14:textId="77777777" w:rsidR="00340A38" w:rsidRDefault="00000000" w:rsidP="00ED6383">
            <w:pPr>
              <w:spacing w:after="0" w:line="240" w:lineRule="auto"/>
              <w:jc w:val="center"/>
              <w:rPr>
                <w:sz w:val="18"/>
                <w:szCs w:val="18"/>
              </w:rPr>
            </w:pPr>
            <w:r>
              <w:rPr>
                <w:sz w:val="18"/>
                <w:szCs w:val="18"/>
              </w:rPr>
              <w:t>0.607227</w:t>
            </w:r>
          </w:p>
        </w:tc>
        <w:tc>
          <w:tcPr>
            <w:tcW w:w="1080" w:type="dxa"/>
            <w:tcBorders>
              <w:top w:val="nil"/>
              <w:left w:val="nil"/>
              <w:bottom w:val="nil"/>
              <w:right w:val="nil"/>
            </w:tcBorders>
            <w:tcMar>
              <w:top w:w="20" w:type="dxa"/>
              <w:left w:w="20" w:type="dxa"/>
              <w:bottom w:w="100" w:type="dxa"/>
              <w:right w:w="20" w:type="dxa"/>
            </w:tcMar>
            <w:vAlign w:val="bottom"/>
          </w:tcPr>
          <w:p w14:paraId="28B70552" w14:textId="77777777" w:rsidR="00340A38" w:rsidRDefault="00000000" w:rsidP="00ED6383">
            <w:pPr>
              <w:spacing w:after="0" w:line="240" w:lineRule="auto"/>
              <w:jc w:val="center"/>
              <w:rPr>
                <w:sz w:val="18"/>
                <w:szCs w:val="18"/>
              </w:rPr>
            </w:pPr>
            <w:r>
              <w:rPr>
                <w:sz w:val="18"/>
                <w:szCs w:val="18"/>
              </w:rPr>
              <w:t>2.394002</w:t>
            </w:r>
          </w:p>
        </w:tc>
        <w:tc>
          <w:tcPr>
            <w:tcW w:w="1065" w:type="dxa"/>
            <w:tcBorders>
              <w:top w:val="nil"/>
              <w:left w:val="nil"/>
              <w:bottom w:val="nil"/>
              <w:right w:val="nil"/>
            </w:tcBorders>
            <w:tcMar>
              <w:top w:w="20" w:type="dxa"/>
              <w:left w:w="20" w:type="dxa"/>
              <w:bottom w:w="100" w:type="dxa"/>
              <w:right w:w="20" w:type="dxa"/>
            </w:tcMar>
            <w:vAlign w:val="bottom"/>
          </w:tcPr>
          <w:p w14:paraId="1053E053" w14:textId="77777777" w:rsidR="00340A38" w:rsidRDefault="00000000" w:rsidP="00ED6383">
            <w:pPr>
              <w:spacing w:after="0" w:line="240" w:lineRule="auto"/>
              <w:jc w:val="center"/>
              <w:rPr>
                <w:sz w:val="18"/>
                <w:szCs w:val="18"/>
              </w:rPr>
            </w:pPr>
            <w:r>
              <w:rPr>
                <w:sz w:val="18"/>
                <w:szCs w:val="18"/>
              </w:rPr>
              <w:t>2.903254617</w:t>
            </w:r>
          </w:p>
        </w:tc>
        <w:tc>
          <w:tcPr>
            <w:tcW w:w="1065" w:type="dxa"/>
            <w:tcBorders>
              <w:top w:val="nil"/>
              <w:left w:val="nil"/>
              <w:bottom w:val="nil"/>
              <w:right w:val="nil"/>
            </w:tcBorders>
            <w:tcMar>
              <w:top w:w="20" w:type="dxa"/>
              <w:left w:w="20" w:type="dxa"/>
              <w:bottom w:w="100" w:type="dxa"/>
              <w:right w:w="20" w:type="dxa"/>
            </w:tcMar>
            <w:vAlign w:val="bottom"/>
          </w:tcPr>
          <w:p w14:paraId="7CD19934" w14:textId="77777777" w:rsidR="00340A38" w:rsidRDefault="00000000" w:rsidP="00ED6383">
            <w:pPr>
              <w:spacing w:after="0" w:line="240" w:lineRule="auto"/>
              <w:jc w:val="center"/>
              <w:rPr>
                <w:sz w:val="18"/>
                <w:szCs w:val="18"/>
              </w:rPr>
            </w:pPr>
            <w:r>
              <w:rPr>
                <w:sz w:val="18"/>
                <w:szCs w:val="18"/>
              </w:rPr>
              <w:t>26.20794418</w:t>
            </w:r>
          </w:p>
        </w:tc>
      </w:tr>
      <w:tr w:rsidR="00340A38" w14:paraId="238337FF" w14:textId="77777777" w:rsidTr="00ED6383">
        <w:trPr>
          <w:trHeight w:val="430"/>
        </w:trPr>
        <w:tc>
          <w:tcPr>
            <w:tcW w:w="1350" w:type="dxa"/>
            <w:tcBorders>
              <w:top w:val="nil"/>
              <w:left w:val="nil"/>
              <w:bottom w:val="nil"/>
              <w:right w:val="nil"/>
            </w:tcBorders>
            <w:tcMar>
              <w:top w:w="20" w:type="dxa"/>
              <w:left w:w="20" w:type="dxa"/>
              <w:right w:w="20" w:type="dxa"/>
            </w:tcMar>
            <w:vAlign w:val="bottom"/>
          </w:tcPr>
          <w:p w14:paraId="6DD8E3CB" w14:textId="77777777" w:rsidR="00340A38" w:rsidRDefault="00000000" w:rsidP="00ED6383">
            <w:pPr>
              <w:spacing w:after="0" w:line="240" w:lineRule="auto"/>
              <w:jc w:val="center"/>
              <w:rPr>
                <w:sz w:val="18"/>
                <w:szCs w:val="18"/>
              </w:rPr>
            </w:pPr>
            <w:r>
              <w:rPr>
                <w:sz w:val="18"/>
                <w:szCs w:val="18"/>
              </w:rPr>
              <w:t>Construction</w:t>
            </w:r>
          </w:p>
        </w:tc>
        <w:tc>
          <w:tcPr>
            <w:tcW w:w="1080" w:type="dxa"/>
            <w:tcBorders>
              <w:top w:val="nil"/>
              <w:left w:val="nil"/>
              <w:bottom w:val="nil"/>
              <w:right w:val="nil"/>
            </w:tcBorders>
            <w:tcMar>
              <w:top w:w="20" w:type="dxa"/>
              <w:left w:w="20" w:type="dxa"/>
              <w:bottom w:w="100" w:type="dxa"/>
              <w:right w:w="20" w:type="dxa"/>
            </w:tcMar>
            <w:vAlign w:val="bottom"/>
          </w:tcPr>
          <w:p w14:paraId="34A7D024" w14:textId="77777777" w:rsidR="00340A38" w:rsidRDefault="00000000" w:rsidP="00ED6383">
            <w:pPr>
              <w:spacing w:after="0" w:line="240" w:lineRule="auto"/>
              <w:jc w:val="center"/>
              <w:rPr>
                <w:sz w:val="18"/>
                <w:szCs w:val="18"/>
              </w:rPr>
            </w:pPr>
            <w:r>
              <w:rPr>
                <w:sz w:val="18"/>
                <w:szCs w:val="18"/>
              </w:rPr>
              <w:t>168</w:t>
            </w:r>
          </w:p>
        </w:tc>
        <w:tc>
          <w:tcPr>
            <w:tcW w:w="1080" w:type="dxa"/>
            <w:tcBorders>
              <w:top w:val="nil"/>
              <w:left w:val="nil"/>
              <w:bottom w:val="nil"/>
              <w:right w:val="nil"/>
            </w:tcBorders>
            <w:tcMar>
              <w:top w:w="20" w:type="dxa"/>
              <w:left w:w="20" w:type="dxa"/>
              <w:bottom w:w="100" w:type="dxa"/>
              <w:right w:w="20" w:type="dxa"/>
            </w:tcMar>
            <w:vAlign w:val="bottom"/>
          </w:tcPr>
          <w:p w14:paraId="24E8D669" w14:textId="77777777" w:rsidR="00340A38" w:rsidRDefault="00000000" w:rsidP="00ED6383">
            <w:pPr>
              <w:spacing w:after="0" w:line="240" w:lineRule="auto"/>
              <w:jc w:val="center"/>
              <w:rPr>
                <w:sz w:val="18"/>
                <w:szCs w:val="18"/>
              </w:rPr>
            </w:pPr>
            <w:r>
              <w:rPr>
                <w:sz w:val="18"/>
                <w:szCs w:val="18"/>
              </w:rPr>
              <w:t>0.673720732</w:t>
            </w:r>
          </w:p>
        </w:tc>
        <w:tc>
          <w:tcPr>
            <w:tcW w:w="1080" w:type="dxa"/>
            <w:tcBorders>
              <w:top w:val="nil"/>
              <w:left w:val="nil"/>
              <w:bottom w:val="nil"/>
              <w:right w:val="nil"/>
            </w:tcBorders>
            <w:tcMar>
              <w:top w:w="20" w:type="dxa"/>
              <w:left w:w="20" w:type="dxa"/>
              <w:bottom w:w="100" w:type="dxa"/>
              <w:right w:w="20" w:type="dxa"/>
            </w:tcMar>
            <w:vAlign w:val="bottom"/>
          </w:tcPr>
          <w:p w14:paraId="1376521D" w14:textId="77777777" w:rsidR="00340A38" w:rsidRDefault="00000000" w:rsidP="00ED6383">
            <w:pPr>
              <w:spacing w:after="0" w:line="240" w:lineRule="auto"/>
              <w:jc w:val="center"/>
              <w:rPr>
                <w:sz w:val="18"/>
                <w:szCs w:val="18"/>
              </w:rPr>
            </w:pPr>
            <w:r>
              <w:rPr>
                <w:sz w:val="18"/>
                <w:szCs w:val="18"/>
              </w:rPr>
              <w:t>0.174786707</w:t>
            </w:r>
          </w:p>
        </w:tc>
        <w:tc>
          <w:tcPr>
            <w:tcW w:w="1080" w:type="dxa"/>
            <w:tcBorders>
              <w:top w:val="nil"/>
              <w:left w:val="nil"/>
              <w:bottom w:val="nil"/>
              <w:right w:val="nil"/>
            </w:tcBorders>
            <w:tcMar>
              <w:top w:w="20" w:type="dxa"/>
              <w:left w:w="20" w:type="dxa"/>
              <w:bottom w:w="100" w:type="dxa"/>
              <w:right w:w="20" w:type="dxa"/>
            </w:tcMar>
            <w:vAlign w:val="bottom"/>
          </w:tcPr>
          <w:p w14:paraId="3D38DF74" w14:textId="77777777" w:rsidR="00340A38" w:rsidRDefault="00000000" w:rsidP="00ED6383">
            <w:pPr>
              <w:spacing w:after="0" w:line="240" w:lineRule="auto"/>
              <w:jc w:val="center"/>
              <w:rPr>
                <w:sz w:val="18"/>
                <w:szCs w:val="18"/>
              </w:rPr>
            </w:pPr>
            <w:r>
              <w:rPr>
                <w:sz w:val="18"/>
                <w:szCs w:val="18"/>
              </w:rPr>
              <w:t>0.077405</w:t>
            </w:r>
          </w:p>
        </w:tc>
        <w:tc>
          <w:tcPr>
            <w:tcW w:w="1080" w:type="dxa"/>
            <w:tcBorders>
              <w:top w:val="nil"/>
              <w:left w:val="nil"/>
              <w:bottom w:val="nil"/>
              <w:right w:val="nil"/>
            </w:tcBorders>
            <w:tcMar>
              <w:top w:w="20" w:type="dxa"/>
              <w:left w:w="20" w:type="dxa"/>
              <w:bottom w:w="100" w:type="dxa"/>
              <w:right w:w="20" w:type="dxa"/>
            </w:tcMar>
            <w:vAlign w:val="bottom"/>
          </w:tcPr>
          <w:p w14:paraId="49E13277" w14:textId="77777777" w:rsidR="00340A38" w:rsidRDefault="00000000" w:rsidP="00ED6383">
            <w:pPr>
              <w:spacing w:after="0" w:line="240" w:lineRule="auto"/>
              <w:jc w:val="center"/>
              <w:rPr>
                <w:sz w:val="18"/>
                <w:szCs w:val="18"/>
              </w:rPr>
            </w:pPr>
            <w:r>
              <w:rPr>
                <w:sz w:val="18"/>
                <w:szCs w:val="18"/>
              </w:rPr>
              <w:t>0.7237955</w:t>
            </w:r>
          </w:p>
        </w:tc>
        <w:tc>
          <w:tcPr>
            <w:tcW w:w="1080" w:type="dxa"/>
            <w:tcBorders>
              <w:top w:val="nil"/>
              <w:left w:val="nil"/>
              <w:bottom w:val="nil"/>
              <w:right w:val="nil"/>
            </w:tcBorders>
            <w:tcMar>
              <w:top w:w="20" w:type="dxa"/>
              <w:left w:w="20" w:type="dxa"/>
              <w:bottom w:w="100" w:type="dxa"/>
              <w:right w:w="20" w:type="dxa"/>
            </w:tcMar>
            <w:vAlign w:val="bottom"/>
          </w:tcPr>
          <w:p w14:paraId="5F59EA74" w14:textId="77777777" w:rsidR="00340A38" w:rsidRDefault="00000000" w:rsidP="00ED6383">
            <w:pPr>
              <w:spacing w:after="0" w:line="240" w:lineRule="auto"/>
              <w:jc w:val="center"/>
              <w:rPr>
                <w:sz w:val="18"/>
                <w:szCs w:val="18"/>
              </w:rPr>
            </w:pPr>
            <w:r>
              <w:rPr>
                <w:sz w:val="18"/>
                <w:szCs w:val="18"/>
              </w:rPr>
              <w:t>0.994367</w:t>
            </w:r>
          </w:p>
        </w:tc>
        <w:tc>
          <w:tcPr>
            <w:tcW w:w="1065" w:type="dxa"/>
            <w:tcBorders>
              <w:top w:val="nil"/>
              <w:left w:val="nil"/>
              <w:bottom w:val="nil"/>
              <w:right w:val="nil"/>
            </w:tcBorders>
            <w:tcMar>
              <w:top w:w="20" w:type="dxa"/>
              <w:left w:w="20" w:type="dxa"/>
              <w:bottom w:w="100" w:type="dxa"/>
              <w:right w:w="20" w:type="dxa"/>
            </w:tcMar>
            <w:vAlign w:val="bottom"/>
          </w:tcPr>
          <w:p w14:paraId="17843B36" w14:textId="77777777" w:rsidR="00340A38" w:rsidRDefault="00000000" w:rsidP="00ED6383">
            <w:pPr>
              <w:spacing w:after="0" w:line="240" w:lineRule="auto"/>
              <w:jc w:val="center"/>
              <w:rPr>
                <w:sz w:val="18"/>
                <w:szCs w:val="18"/>
              </w:rPr>
            </w:pPr>
            <w:r>
              <w:rPr>
                <w:sz w:val="18"/>
                <w:szCs w:val="18"/>
              </w:rPr>
              <w:t>-1.53036947</w:t>
            </w:r>
          </w:p>
        </w:tc>
        <w:tc>
          <w:tcPr>
            <w:tcW w:w="1065" w:type="dxa"/>
            <w:tcBorders>
              <w:top w:val="nil"/>
              <w:left w:val="nil"/>
              <w:bottom w:val="nil"/>
              <w:right w:val="nil"/>
            </w:tcBorders>
            <w:tcMar>
              <w:top w:w="20" w:type="dxa"/>
              <w:left w:w="20" w:type="dxa"/>
              <w:bottom w:w="100" w:type="dxa"/>
              <w:right w:w="20" w:type="dxa"/>
            </w:tcMar>
            <w:vAlign w:val="bottom"/>
          </w:tcPr>
          <w:p w14:paraId="46E03CA4" w14:textId="77777777" w:rsidR="00340A38" w:rsidRDefault="00000000" w:rsidP="00ED6383">
            <w:pPr>
              <w:spacing w:after="0" w:line="240" w:lineRule="auto"/>
              <w:jc w:val="center"/>
              <w:rPr>
                <w:sz w:val="18"/>
                <w:szCs w:val="18"/>
              </w:rPr>
            </w:pPr>
            <w:r>
              <w:rPr>
                <w:sz w:val="18"/>
                <w:szCs w:val="18"/>
              </w:rPr>
              <w:t>2.452504687</w:t>
            </w:r>
          </w:p>
        </w:tc>
      </w:tr>
      <w:tr w:rsidR="00340A38" w14:paraId="28AECD9C" w14:textId="77777777" w:rsidTr="00ED6383">
        <w:trPr>
          <w:trHeight w:val="430"/>
        </w:trPr>
        <w:tc>
          <w:tcPr>
            <w:tcW w:w="1350" w:type="dxa"/>
            <w:tcBorders>
              <w:top w:val="nil"/>
              <w:left w:val="nil"/>
              <w:bottom w:val="nil"/>
              <w:right w:val="nil"/>
            </w:tcBorders>
            <w:tcMar>
              <w:top w:w="20" w:type="dxa"/>
              <w:left w:w="20" w:type="dxa"/>
              <w:right w:w="20" w:type="dxa"/>
            </w:tcMar>
            <w:vAlign w:val="bottom"/>
          </w:tcPr>
          <w:p w14:paraId="7C07F1FF" w14:textId="77777777" w:rsidR="00340A38" w:rsidRDefault="00000000" w:rsidP="00ED6383">
            <w:pPr>
              <w:spacing w:after="0" w:line="240" w:lineRule="auto"/>
              <w:jc w:val="center"/>
              <w:rPr>
                <w:sz w:val="18"/>
                <w:szCs w:val="18"/>
              </w:rPr>
            </w:pPr>
            <w:r>
              <w:rPr>
                <w:sz w:val="18"/>
                <w:szCs w:val="18"/>
              </w:rPr>
              <w:t>Retailing</w:t>
            </w:r>
          </w:p>
        </w:tc>
        <w:tc>
          <w:tcPr>
            <w:tcW w:w="1080" w:type="dxa"/>
            <w:tcBorders>
              <w:top w:val="nil"/>
              <w:left w:val="nil"/>
              <w:bottom w:val="nil"/>
              <w:right w:val="nil"/>
            </w:tcBorders>
            <w:tcMar>
              <w:top w:w="20" w:type="dxa"/>
              <w:left w:w="20" w:type="dxa"/>
              <w:bottom w:w="100" w:type="dxa"/>
              <w:right w:w="20" w:type="dxa"/>
            </w:tcMar>
            <w:vAlign w:val="bottom"/>
          </w:tcPr>
          <w:p w14:paraId="57DBC4F6" w14:textId="77777777" w:rsidR="00340A38" w:rsidRDefault="00000000" w:rsidP="00ED6383">
            <w:pPr>
              <w:spacing w:after="0" w:line="240" w:lineRule="auto"/>
              <w:jc w:val="center"/>
              <w:rPr>
                <w:sz w:val="18"/>
                <w:szCs w:val="18"/>
              </w:rPr>
            </w:pPr>
            <w:r>
              <w:rPr>
                <w:sz w:val="18"/>
                <w:szCs w:val="18"/>
              </w:rPr>
              <w:t>336</w:t>
            </w:r>
          </w:p>
        </w:tc>
        <w:tc>
          <w:tcPr>
            <w:tcW w:w="1080" w:type="dxa"/>
            <w:tcBorders>
              <w:top w:val="nil"/>
              <w:left w:val="nil"/>
              <w:bottom w:val="nil"/>
              <w:right w:val="nil"/>
            </w:tcBorders>
            <w:tcMar>
              <w:top w:w="20" w:type="dxa"/>
              <w:left w:w="20" w:type="dxa"/>
              <w:bottom w:w="100" w:type="dxa"/>
              <w:right w:w="20" w:type="dxa"/>
            </w:tcMar>
            <w:vAlign w:val="bottom"/>
          </w:tcPr>
          <w:p w14:paraId="251FFED7" w14:textId="77777777" w:rsidR="00340A38" w:rsidRDefault="00000000" w:rsidP="00ED6383">
            <w:pPr>
              <w:spacing w:after="0" w:line="240" w:lineRule="auto"/>
              <w:jc w:val="center"/>
              <w:rPr>
                <w:sz w:val="18"/>
                <w:szCs w:val="18"/>
              </w:rPr>
            </w:pPr>
            <w:r>
              <w:rPr>
                <w:sz w:val="18"/>
                <w:szCs w:val="18"/>
              </w:rPr>
              <w:t>0.56041936</w:t>
            </w:r>
          </w:p>
        </w:tc>
        <w:tc>
          <w:tcPr>
            <w:tcW w:w="1080" w:type="dxa"/>
            <w:tcBorders>
              <w:top w:val="nil"/>
              <w:left w:val="nil"/>
              <w:bottom w:val="nil"/>
              <w:right w:val="nil"/>
            </w:tcBorders>
            <w:tcMar>
              <w:top w:w="20" w:type="dxa"/>
              <w:left w:w="20" w:type="dxa"/>
              <w:bottom w:w="100" w:type="dxa"/>
              <w:right w:w="20" w:type="dxa"/>
            </w:tcMar>
            <w:vAlign w:val="bottom"/>
          </w:tcPr>
          <w:p w14:paraId="5780400B" w14:textId="77777777" w:rsidR="00340A38" w:rsidRDefault="00000000" w:rsidP="00ED6383">
            <w:pPr>
              <w:spacing w:after="0" w:line="240" w:lineRule="auto"/>
              <w:jc w:val="center"/>
              <w:rPr>
                <w:sz w:val="18"/>
                <w:szCs w:val="18"/>
              </w:rPr>
            </w:pPr>
            <w:r>
              <w:rPr>
                <w:sz w:val="18"/>
                <w:szCs w:val="18"/>
              </w:rPr>
              <w:t>0.268959689</w:t>
            </w:r>
          </w:p>
        </w:tc>
        <w:tc>
          <w:tcPr>
            <w:tcW w:w="1080" w:type="dxa"/>
            <w:tcBorders>
              <w:top w:val="nil"/>
              <w:left w:val="nil"/>
              <w:bottom w:val="nil"/>
              <w:right w:val="nil"/>
            </w:tcBorders>
            <w:tcMar>
              <w:top w:w="20" w:type="dxa"/>
              <w:left w:w="20" w:type="dxa"/>
              <w:bottom w:w="100" w:type="dxa"/>
              <w:right w:w="20" w:type="dxa"/>
            </w:tcMar>
            <w:vAlign w:val="bottom"/>
          </w:tcPr>
          <w:p w14:paraId="6E25B9D7" w14:textId="77777777" w:rsidR="00340A38" w:rsidRDefault="00000000" w:rsidP="00ED6383">
            <w:pPr>
              <w:spacing w:after="0" w:line="240" w:lineRule="auto"/>
              <w:jc w:val="center"/>
              <w:rPr>
                <w:sz w:val="18"/>
                <w:szCs w:val="18"/>
              </w:rPr>
            </w:pPr>
            <w:r>
              <w:rPr>
                <w:sz w:val="18"/>
                <w:szCs w:val="18"/>
              </w:rPr>
              <w:t>0.051592</w:t>
            </w:r>
          </w:p>
        </w:tc>
        <w:tc>
          <w:tcPr>
            <w:tcW w:w="1080" w:type="dxa"/>
            <w:tcBorders>
              <w:top w:val="nil"/>
              <w:left w:val="nil"/>
              <w:bottom w:val="nil"/>
              <w:right w:val="nil"/>
            </w:tcBorders>
            <w:tcMar>
              <w:top w:w="20" w:type="dxa"/>
              <w:left w:w="20" w:type="dxa"/>
              <w:bottom w:w="100" w:type="dxa"/>
              <w:right w:w="20" w:type="dxa"/>
            </w:tcMar>
            <w:vAlign w:val="bottom"/>
          </w:tcPr>
          <w:p w14:paraId="385750C3" w14:textId="77777777" w:rsidR="00340A38" w:rsidRDefault="00000000" w:rsidP="00ED6383">
            <w:pPr>
              <w:spacing w:after="0" w:line="240" w:lineRule="auto"/>
              <w:jc w:val="center"/>
              <w:rPr>
                <w:sz w:val="18"/>
                <w:szCs w:val="18"/>
              </w:rPr>
            </w:pPr>
            <w:r>
              <w:rPr>
                <w:sz w:val="18"/>
                <w:szCs w:val="18"/>
              </w:rPr>
              <w:t>0.575588</w:t>
            </w:r>
          </w:p>
        </w:tc>
        <w:tc>
          <w:tcPr>
            <w:tcW w:w="1080" w:type="dxa"/>
            <w:tcBorders>
              <w:top w:val="nil"/>
              <w:left w:val="nil"/>
              <w:bottom w:val="nil"/>
              <w:right w:val="nil"/>
            </w:tcBorders>
            <w:tcMar>
              <w:top w:w="20" w:type="dxa"/>
              <w:left w:w="20" w:type="dxa"/>
              <w:bottom w:w="100" w:type="dxa"/>
              <w:right w:w="20" w:type="dxa"/>
            </w:tcMar>
            <w:vAlign w:val="bottom"/>
          </w:tcPr>
          <w:p w14:paraId="08C212A6" w14:textId="77777777" w:rsidR="00340A38" w:rsidRDefault="00000000" w:rsidP="00ED6383">
            <w:pPr>
              <w:spacing w:after="0" w:line="240" w:lineRule="auto"/>
              <w:jc w:val="center"/>
              <w:rPr>
                <w:sz w:val="18"/>
                <w:szCs w:val="18"/>
              </w:rPr>
            </w:pPr>
            <w:r>
              <w:rPr>
                <w:sz w:val="18"/>
                <w:szCs w:val="18"/>
              </w:rPr>
              <w:t>3.645301</w:t>
            </w:r>
          </w:p>
        </w:tc>
        <w:tc>
          <w:tcPr>
            <w:tcW w:w="1065" w:type="dxa"/>
            <w:tcBorders>
              <w:top w:val="nil"/>
              <w:left w:val="nil"/>
              <w:bottom w:val="nil"/>
              <w:right w:val="nil"/>
            </w:tcBorders>
            <w:tcMar>
              <w:top w:w="20" w:type="dxa"/>
              <w:left w:w="20" w:type="dxa"/>
              <w:bottom w:w="100" w:type="dxa"/>
              <w:right w:w="20" w:type="dxa"/>
            </w:tcMar>
            <w:vAlign w:val="bottom"/>
          </w:tcPr>
          <w:p w14:paraId="18521A90" w14:textId="77777777" w:rsidR="00340A38" w:rsidRDefault="00000000" w:rsidP="00ED6383">
            <w:pPr>
              <w:spacing w:after="0" w:line="240" w:lineRule="auto"/>
              <w:jc w:val="center"/>
              <w:rPr>
                <w:sz w:val="18"/>
                <w:szCs w:val="18"/>
              </w:rPr>
            </w:pPr>
            <w:r>
              <w:rPr>
                <w:sz w:val="18"/>
                <w:szCs w:val="18"/>
              </w:rPr>
              <w:t>4.7624217</w:t>
            </w:r>
          </w:p>
        </w:tc>
        <w:tc>
          <w:tcPr>
            <w:tcW w:w="1065" w:type="dxa"/>
            <w:tcBorders>
              <w:top w:val="nil"/>
              <w:left w:val="nil"/>
              <w:bottom w:val="nil"/>
              <w:right w:val="nil"/>
            </w:tcBorders>
            <w:tcMar>
              <w:top w:w="20" w:type="dxa"/>
              <w:left w:w="20" w:type="dxa"/>
              <w:bottom w:w="100" w:type="dxa"/>
              <w:right w:w="20" w:type="dxa"/>
            </w:tcMar>
            <w:vAlign w:val="bottom"/>
          </w:tcPr>
          <w:p w14:paraId="20D1B8E4" w14:textId="77777777" w:rsidR="00340A38" w:rsidRDefault="00000000" w:rsidP="00ED6383">
            <w:pPr>
              <w:spacing w:after="0" w:line="240" w:lineRule="auto"/>
              <w:jc w:val="center"/>
              <w:rPr>
                <w:sz w:val="18"/>
                <w:szCs w:val="18"/>
              </w:rPr>
            </w:pPr>
            <w:r>
              <w:rPr>
                <w:sz w:val="18"/>
                <w:szCs w:val="18"/>
              </w:rPr>
              <w:t>53.28685004</w:t>
            </w:r>
          </w:p>
        </w:tc>
      </w:tr>
      <w:tr w:rsidR="00340A38" w14:paraId="3E7C5DFC" w14:textId="77777777" w:rsidTr="00ED6383">
        <w:trPr>
          <w:trHeight w:val="430"/>
        </w:trPr>
        <w:tc>
          <w:tcPr>
            <w:tcW w:w="1350" w:type="dxa"/>
            <w:tcBorders>
              <w:top w:val="nil"/>
              <w:left w:val="nil"/>
              <w:bottom w:val="nil"/>
              <w:right w:val="nil"/>
            </w:tcBorders>
            <w:tcMar>
              <w:top w:w="20" w:type="dxa"/>
              <w:left w:w="20" w:type="dxa"/>
              <w:right w:w="20" w:type="dxa"/>
            </w:tcMar>
            <w:vAlign w:val="bottom"/>
          </w:tcPr>
          <w:p w14:paraId="551297C9" w14:textId="77777777" w:rsidR="00340A38" w:rsidRDefault="00000000" w:rsidP="00ED6383">
            <w:pPr>
              <w:spacing w:after="0" w:line="240" w:lineRule="auto"/>
              <w:jc w:val="center"/>
              <w:rPr>
                <w:sz w:val="18"/>
                <w:szCs w:val="18"/>
              </w:rPr>
            </w:pPr>
            <w:r>
              <w:rPr>
                <w:sz w:val="18"/>
                <w:szCs w:val="18"/>
              </w:rPr>
              <w:t>Transportation</w:t>
            </w:r>
          </w:p>
        </w:tc>
        <w:tc>
          <w:tcPr>
            <w:tcW w:w="1080" w:type="dxa"/>
            <w:tcBorders>
              <w:top w:val="nil"/>
              <w:left w:val="nil"/>
              <w:bottom w:val="nil"/>
              <w:right w:val="nil"/>
            </w:tcBorders>
            <w:tcMar>
              <w:top w:w="20" w:type="dxa"/>
              <w:left w:w="20" w:type="dxa"/>
              <w:bottom w:w="100" w:type="dxa"/>
              <w:right w:w="20" w:type="dxa"/>
            </w:tcMar>
            <w:vAlign w:val="bottom"/>
          </w:tcPr>
          <w:p w14:paraId="4555EA1D" w14:textId="77777777" w:rsidR="00340A38" w:rsidRDefault="00000000" w:rsidP="00ED6383">
            <w:pPr>
              <w:spacing w:after="0" w:line="240" w:lineRule="auto"/>
              <w:jc w:val="center"/>
              <w:rPr>
                <w:sz w:val="18"/>
                <w:szCs w:val="18"/>
              </w:rPr>
            </w:pPr>
            <w:r>
              <w:rPr>
                <w:sz w:val="18"/>
                <w:szCs w:val="18"/>
              </w:rPr>
              <w:t>168</w:t>
            </w:r>
          </w:p>
        </w:tc>
        <w:tc>
          <w:tcPr>
            <w:tcW w:w="1080" w:type="dxa"/>
            <w:tcBorders>
              <w:top w:val="nil"/>
              <w:left w:val="nil"/>
              <w:bottom w:val="nil"/>
              <w:right w:val="nil"/>
            </w:tcBorders>
            <w:tcMar>
              <w:top w:w="20" w:type="dxa"/>
              <w:left w:w="20" w:type="dxa"/>
              <w:bottom w:w="100" w:type="dxa"/>
              <w:right w:w="20" w:type="dxa"/>
            </w:tcMar>
            <w:vAlign w:val="bottom"/>
          </w:tcPr>
          <w:p w14:paraId="0C032A30" w14:textId="77777777" w:rsidR="00340A38" w:rsidRDefault="00000000" w:rsidP="00ED6383">
            <w:pPr>
              <w:spacing w:after="0" w:line="240" w:lineRule="auto"/>
              <w:jc w:val="center"/>
              <w:rPr>
                <w:sz w:val="18"/>
                <w:szCs w:val="18"/>
              </w:rPr>
            </w:pPr>
            <w:r>
              <w:rPr>
                <w:sz w:val="18"/>
                <w:szCs w:val="18"/>
              </w:rPr>
              <w:t>0.471577304</w:t>
            </w:r>
          </w:p>
        </w:tc>
        <w:tc>
          <w:tcPr>
            <w:tcW w:w="1080" w:type="dxa"/>
            <w:tcBorders>
              <w:top w:val="nil"/>
              <w:left w:val="nil"/>
              <w:bottom w:val="nil"/>
              <w:right w:val="nil"/>
            </w:tcBorders>
            <w:tcMar>
              <w:top w:w="20" w:type="dxa"/>
              <w:left w:w="20" w:type="dxa"/>
              <w:bottom w:w="100" w:type="dxa"/>
              <w:right w:w="20" w:type="dxa"/>
            </w:tcMar>
            <w:vAlign w:val="bottom"/>
          </w:tcPr>
          <w:p w14:paraId="70762A22" w14:textId="77777777" w:rsidR="00340A38" w:rsidRDefault="00000000" w:rsidP="00ED6383">
            <w:pPr>
              <w:spacing w:after="0" w:line="240" w:lineRule="auto"/>
              <w:jc w:val="center"/>
              <w:rPr>
                <w:sz w:val="18"/>
                <w:szCs w:val="18"/>
              </w:rPr>
            </w:pPr>
            <w:r>
              <w:rPr>
                <w:sz w:val="18"/>
                <w:szCs w:val="18"/>
              </w:rPr>
              <w:t>0.173883675</w:t>
            </w:r>
          </w:p>
        </w:tc>
        <w:tc>
          <w:tcPr>
            <w:tcW w:w="1080" w:type="dxa"/>
            <w:tcBorders>
              <w:top w:val="nil"/>
              <w:left w:val="nil"/>
              <w:bottom w:val="nil"/>
              <w:right w:val="nil"/>
            </w:tcBorders>
            <w:tcMar>
              <w:top w:w="20" w:type="dxa"/>
              <w:left w:w="20" w:type="dxa"/>
              <w:bottom w:w="100" w:type="dxa"/>
              <w:right w:w="20" w:type="dxa"/>
            </w:tcMar>
            <w:vAlign w:val="bottom"/>
          </w:tcPr>
          <w:p w14:paraId="003B4B1F" w14:textId="77777777" w:rsidR="00340A38" w:rsidRDefault="00000000" w:rsidP="00ED6383">
            <w:pPr>
              <w:spacing w:after="0" w:line="240" w:lineRule="auto"/>
              <w:jc w:val="center"/>
              <w:rPr>
                <w:sz w:val="18"/>
                <w:szCs w:val="18"/>
              </w:rPr>
            </w:pPr>
            <w:r>
              <w:rPr>
                <w:sz w:val="18"/>
                <w:szCs w:val="18"/>
              </w:rPr>
              <w:t>0.119883</w:t>
            </w:r>
          </w:p>
        </w:tc>
        <w:tc>
          <w:tcPr>
            <w:tcW w:w="1080" w:type="dxa"/>
            <w:tcBorders>
              <w:top w:val="nil"/>
              <w:left w:val="nil"/>
              <w:bottom w:val="nil"/>
              <w:right w:val="nil"/>
            </w:tcBorders>
            <w:tcMar>
              <w:top w:w="20" w:type="dxa"/>
              <w:left w:w="20" w:type="dxa"/>
              <w:bottom w:w="100" w:type="dxa"/>
              <w:right w:w="20" w:type="dxa"/>
            </w:tcMar>
            <w:vAlign w:val="bottom"/>
          </w:tcPr>
          <w:p w14:paraId="7DBDA5F8" w14:textId="77777777" w:rsidR="00340A38" w:rsidRDefault="00000000" w:rsidP="00ED6383">
            <w:pPr>
              <w:spacing w:after="0" w:line="240" w:lineRule="auto"/>
              <w:jc w:val="center"/>
              <w:rPr>
                <w:sz w:val="18"/>
                <w:szCs w:val="18"/>
              </w:rPr>
            </w:pPr>
            <w:r>
              <w:rPr>
                <w:sz w:val="18"/>
                <w:szCs w:val="18"/>
              </w:rPr>
              <w:t>0.4495455</w:t>
            </w:r>
          </w:p>
        </w:tc>
        <w:tc>
          <w:tcPr>
            <w:tcW w:w="1080" w:type="dxa"/>
            <w:tcBorders>
              <w:top w:val="nil"/>
              <w:left w:val="nil"/>
              <w:bottom w:val="nil"/>
              <w:right w:val="nil"/>
            </w:tcBorders>
            <w:tcMar>
              <w:top w:w="20" w:type="dxa"/>
              <w:left w:w="20" w:type="dxa"/>
              <w:bottom w:w="100" w:type="dxa"/>
              <w:right w:w="20" w:type="dxa"/>
            </w:tcMar>
            <w:vAlign w:val="bottom"/>
          </w:tcPr>
          <w:p w14:paraId="6F9526C2" w14:textId="77777777" w:rsidR="00340A38" w:rsidRDefault="00000000" w:rsidP="00ED6383">
            <w:pPr>
              <w:spacing w:after="0" w:line="240" w:lineRule="auto"/>
              <w:jc w:val="center"/>
              <w:rPr>
                <w:sz w:val="18"/>
                <w:szCs w:val="18"/>
              </w:rPr>
            </w:pPr>
            <w:r>
              <w:rPr>
                <w:sz w:val="18"/>
                <w:szCs w:val="18"/>
              </w:rPr>
              <w:t>0.897709</w:t>
            </w:r>
          </w:p>
        </w:tc>
        <w:tc>
          <w:tcPr>
            <w:tcW w:w="1065" w:type="dxa"/>
            <w:tcBorders>
              <w:top w:val="nil"/>
              <w:left w:val="nil"/>
              <w:bottom w:val="nil"/>
              <w:right w:val="nil"/>
            </w:tcBorders>
            <w:tcMar>
              <w:top w:w="20" w:type="dxa"/>
              <w:left w:w="20" w:type="dxa"/>
              <w:bottom w:w="100" w:type="dxa"/>
              <w:right w:w="20" w:type="dxa"/>
            </w:tcMar>
            <w:vAlign w:val="bottom"/>
          </w:tcPr>
          <w:p w14:paraId="47FCDEE1" w14:textId="77777777" w:rsidR="00340A38" w:rsidRDefault="00000000" w:rsidP="00ED6383">
            <w:pPr>
              <w:spacing w:after="0" w:line="240" w:lineRule="auto"/>
              <w:jc w:val="center"/>
              <w:rPr>
                <w:sz w:val="18"/>
                <w:szCs w:val="18"/>
              </w:rPr>
            </w:pPr>
            <w:r>
              <w:rPr>
                <w:sz w:val="18"/>
                <w:szCs w:val="18"/>
              </w:rPr>
              <w:t>0.332988406</w:t>
            </w:r>
          </w:p>
        </w:tc>
        <w:tc>
          <w:tcPr>
            <w:tcW w:w="1065" w:type="dxa"/>
            <w:tcBorders>
              <w:top w:val="nil"/>
              <w:left w:val="nil"/>
              <w:bottom w:val="nil"/>
              <w:right w:val="nil"/>
            </w:tcBorders>
            <w:tcMar>
              <w:top w:w="20" w:type="dxa"/>
              <w:left w:w="20" w:type="dxa"/>
              <w:bottom w:w="100" w:type="dxa"/>
              <w:right w:w="20" w:type="dxa"/>
            </w:tcMar>
            <w:vAlign w:val="bottom"/>
          </w:tcPr>
          <w:p w14:paraId="4AFF4810" w14:textId="77777777" w:rsidR="00340A38" w:rsidRDefault="00000000" w:rsidP="00ED6383">
            <w:pPr>
              <w:spacing w:after="0" w:line="240" w:lineRule="auto"/>
              <w:jc w:val="center"/>
              <w:rPr>
                <w:sz w:val="18"/>
                <w:szCs w:val="18"/>
              </w:rPr>
            </w:pPr>
            <w:r>
              <w:rPr>
                <w:sz w:val="18"/>
                <w:szCs w:val="18"/>
              </w:rPr>
              <w:t>-0.632646484</w:t>
            </w:r>
          </w:p>
        </w:tc>
      </w:tr>
      <w:tr w:rsidR="00340A38" w14:paraId="3F55798A" w14:textId="77777777" w:rsidTr="00ED6383">
        <w:trPr>
          <w:trHeight w:val="430"/>
        </w:trPr>
        <w:tc>
          <w:tcPr>
            <w:tcW w:w="1350" w:type="dxa"/>
            <w:tcBorders>
              <w:top w:val="nil"/>
              <w:left w:val="nil"/>
              <w:bottom w:val="nil"/>
              <w:right w:val="nil"/>
            </w:tcBorders>
            <w:tcMar>
              <w:top w:w="20" w:type="dxa"/>
              <w:left w:w="20" w:type="dxa"/>
              <w:right w:w="20" w:type="dxa"/>
            </w:tcMar>
            <w:vAlign w:val="bottom"/>
          </w:tcPr>
          <w:p w14:paraId="442E7406" w14:textId="77777777" w:rsidR="00340A38" w:rsidRDefault="00000000" w:rsidP="00ED6383">
            <w:pPr>
              <w:spacing w:after="0" w:line="240" w:lineRule="auto"/>
              <w:jc w:val="center"/>
              <w:rPr>
                <w:sz w:val="18"/>
                <w:szCs w:val="18"/>
              </w:rPr>
            </w:pPr>
            <w:r>
              <w:rPr>
                <w:sz w:val="18"/>
                <w:szCs w:val="18"/>
              </w:rPr>
              <w:t>Hoteling</w:t>
            </w:r>
          </w:p>
        </w:tc>
        <w:tc>
          <w:tcPr>
            <w:tcW w:w="1080" w:type="dxa"/>
            <w:tcBorders>
              <w:top w:val="nil"/>
              <w:left w:val="nil"/>
              <w:bottom w:val="nil"/>
              <w:right w:val="nil"/>
            </w:tcBorders>
            <w:tcMar>
              <w:top w:w="20" w:type="dxa"/>
              <w:left w:w="20" w:type="dxa"/>
              <w:bottom w:w="100" w:type="dxa"/>
              <w:right w:w="20" w:type="dxa"/>
            </w:tcMar>
            <w:vAlign w:val="bottom"/>
          </w:tcPr>
          <w:p w14:paraId="4525DE19" w14:textId="77777777" w:rsidR="00340A38" w:rsidRDefault="00000000" w:rsidP="00ED6383">
            <w:pPr>
              <w:spacing w:after="0" w:line="240" w:lineRule="auto"/>
              <w:jc w:val="center"/>
              <w:rPr>
                <w:sz w:val="18"/>
                <w:szCs w:val="18"/>
              </w:rPr>
            </w:pPr>
            <w:r>
              <w:rPr>
                <w:sz w:val="18"/>
                <w:szCs w:val="18"/>
              </w:rPr>
              <w:t>24</w:t>
            </w:r>
          </w:p>
        </w:tc>
        <w:tc>
          <w:tcPr>
            <w:tcW w:w="1080" w:type="dxa"/>
            <w:tcBorders>
              <w:top w:val="nil"/>
              <w:left w:val="nil"/>
              <w:bottom w:val="nil"/>
              <w:right w:val="nil"/>
            </w:tcBorders>
            <w:tcMar>
              <w:top w:w="20" w:type="dxa"/>
              <w:left w:w="20" w:type="dxa"/>
              <w:bottom w:w="100" w:type="dxa"/>
              <w:right w:w="20" w:type="dxa"/>
            </w:tcMar>
            <w:vAlign w:val="bottom"/>
          </w:tcPr>
          <w:p w14:paraId="58C64FB4" w14:textId="77777777" w:rsidR="00340A38" w:rsidRDefault="00000000" w:rsidP="00ED6383">
            <w:pPr>
              <w:spacing w:after="0" w:line="240" w:lineRule="auto"/>
              <w:jc w:val="center"/>
              <w:rPr>
                <w:sz w:val="18"/>
                <w:szCs w:val="18"/>
              </w:rPr>
            </w:pPr>
            <w:r>
              <w:rPr>
                <w:sz w:val="18"/>
                <w:szCs w:val="18"/>
              </w:rPr>
              <w:t>0.357162167</w:t>
            </w:r>
          </w:p>
        </w:tc>
        <w:tc>
          <w:tcPr>
            <w:tcW w:w="1080" w:type="dxa"/>
            <w:tcBorders>
              <w:top w:val="nil"/>
              <w:left w:val="nil"/>
              <w:bottom w:val="nil"/>
              <w:right w:val="nil"/>
            </w:tcBorders>
            <w:tcMar>
              <w:top w:w="20" w:type="dxa"/>
              <w:left w:w="20" w:type="dxa"/>
              <w:bottom w:w="100" w:type="dxa"/>
              <w:right w:w="20" w:type="dxa"/>
            </w:tcMar>
            <w:vAlign w:val="bottom"/>
          </w:tcPr>
          <w:p w14:paraId="4AEC9870" w14:textId="77777777" w:rsidR="00340A38" w:rsidRDefault="00000000" w:rsidP="00ED6383">
            <w:pPr>
              <w:spacing w:after="0" w:line="240" w:lineRule="auto"/>
              <w:jc w:val="center"/>
              <w:rPr>
                <w:sz w:val="18"/>
                <w:szCs w:val="18"/>
              </w:rPr>
            </w:pPr>
            <w:r>
              <w:rPr>
                <w:sz w:val="18"/>
                <w:szCs w:val="18"/>
              </w:rPr>
              <w:t>0.136201806</w:t>
            </w:r>
          </w:p>
        </w:tc>
        <w:tc>
          <w:tcPr>
            <w:tcW w:w="1080" w:type="dxa"/>
            <w:tcBorders>
              <w:top w:val="nil"/>
              <w:left w:val="nil"/>
              <w:bottom w:val="nil"/>
              <w:right w:val="nil"/>
            </w:tcBorders>
            <w:tcMar>
              <w:top w:w="20" w:type="dxa"/>
              <w:left w:w="20" w:type="dxa"/>
              <w:bottom w:w="100" w:type="dxa"/>
              <w:right w:w="20" w:type="dxa"/>
            </w:tcMar>
            <w:vAlign w:val="bottom"/>
          </w:tcPr>
          <w:p w14:paraId="71A0D7AD" w14:textId="77777777" w:rsidR="00340A38" w:rsidRDefault="00000000" w:rsidP="00ED6383">
            <w:pPr>
              <w:spacing w:after="0" w:line="240" w:lineRule="auto"/>
              <w:jc w:val="center"/>
              <w:rPr>
                <w:sz w:val="18"/>
                <w:szCs w:val="18"/>
              </w:rPr>
            </w:pPr>
            <w:r>
              <w:rPr>
                <w:sz w:val="18"/>
                <w:szCs w:val="18"/>
              </w:rPr>
              <w:t>0.19484</w:t>
            </w:r>
          </w:p>
        </w:tc>
        <w:tc>
          <w:tcPr>
            <w:tcW w:w="1080" w:type="dxa"/>
            <w:tcBorders>
              <w:top w:val="nil"/>
              <w:left w:val="nil"/>
              <w:bottom w:val="nil"/>
              <w:right w:val="nil"/>
            </w:tcBorders>
            <w:tcMar>
              <w:top w:w="20" w:type="dxa"/>
              <w:left w:w="20" w:type="dxa"/>
              <w:bottom w:w="100" w:type="dxa"/>
              <w:right w:w="20" w:type="dxa"/>
            </w:tcMar>
            <w:vAlign w:val="bottom"/>
          </w:tcPr>
          <w:p w14:paraId="427F03A1" w14:textId="77777777" w:rsidR="00340A38" w:rsidRDefault="00000000" w:rsidP="00ED6383">
            <w:pPr>
              <w:spacing w:after="0" w:line="240" w:lineRule="auto"/>
              <w:jc w:val="center"/>
              <w:rPr>
                <w:sz w:val="18"/>
                <w:szCs w:val="18"/>
              </w:rPr>
            </w:pPr>
            <w:r>
              <w:rPr>
                <w:sz w:val="18"/>
                <w:szCs w:val="18"/>
              </w:rPr>
              <w:t>0.3416405</w:t>
            </w:r>
          </w:p>
        </w:tc>
        <w:tc>
          <w:tcPr>
            <w:tcW w:w="1080" w:type="dxa"/>
            <w:tcBorders>
              <w:top w:val="nil"/>
              <w:left w:val="nil"/>
              <w:bottom w:val="nil"/>
              <w:right w:val="nil"/>
            </w:tcBorders>
            <w:tcMar>
              <w:top w:w="20" w:type="dxa"/>
              <w:left w:w="20" w:type="dxa"/>
              <w:bottom w:w="100" w:type="dxa"/>
              <w:right w:w="20" w:type="dxa"/>
            </w:tcMar>
            <w:vAlign w:val="bottom"/>
          </w:tcPr>
          <w:p w14:paraId="1DBB1407" w14:textId="77777777" w:rsidR="00340A38" w:rsidRDefault="00000000" w:rsidP="00ED6383">
            <w:pPr>
              <w:spacing w:after="0" w:line="240" w:lineRule="auto"/>
              <w:jc w:val="center"/>
              <w:rPr>
                <w:sz w:val="18"/>
                <w:szCs w:val="18"/>
              </w:rPr>
            </w:pPr>
            <w:r>
              <w:rPr>
                <w:sz w:val="18"/>
                <w:szCs w:val="18"/>
              </w:rPr>
              <w:t>0.703131</w:t>
            </w:r>
          </w:p>
        </w:tc>
        <w:tc>
          <w:tcPr>
            <w:tcW w:w="1065" w:type="dxa"/>
            <w:tcBorders>
              <w:top w:val="nil"/>
              <w:left w:val="nil"/>
              <w:bottom w:val="nil"/>
              <w:right w:val="nil"/>
            </w:tcBorders>
            <w:tcMar>
              <w:top w:w="20" w:type="dxa"/>
              <w:left w:w="20" w:type="dxa"/>
              <w:bottom w:w="100" w:type="dxa"/>
              <w:right w:w="20" w:type="dxa"/>
            </w:tcMar>
            <w:vAlign w:val="bottom"/>
          </w:tcPr>
          <w:p w14:paraId="2CFC1089" w14:textId="77777777" w:rsidR="00340A38" w:rsidRDefault="00000000" w:rsidP="00ED6383">
            <w:pPr>
              <w:spacing w:after="0" w:line="240" w:lineRule="auto"/>
              <w:jc w:val="center"/>
              <w:rPr>
                <w:sz w:val="18"/>
                <w:szCs w:val="18"/>
              </w:rPr>
            </w:pPr>
            <w:r>
              <w:rPr>
                <w:sz w:val="18"/>
                <w:szCs w:val="18"/>
              </w:rPr>
              <w:t>1.074240895</w:t>
            </w:r>
          </w:p>
        </w:tc>
        <w:tc>
          <w:tcPr>
            <w:tcW w:w="1065" w:type="dxa"/>
            <w:tcBorders>
              <w:top w:val="nil"/>
              <w:left w:val="nil"/>
              <w:bottom w:val="nil"/>
              <w:right w:val="nil"/>
            </w:tcBorders>
            <w:tcMar>
              <w:top w:w="20" w:type="dxa"/>
              <w:left w:w="20" w:type="dxa"/>
              <w:bottom w:w="100" w:type="dxa"/>
              <w:right w:w="20" w:type="dxa"/>
            </w:tcMar>
            <w:vAlign w:val="bottom"/>
          </w:tcPr>
          <w:p w14:paraId="5D130FE4" w14:textId="77777777" w:rsidR="00340A38" w:rsidRDefault="00000000" w:rsidP="00ED6383">
            <w:pPr>
              <w:spacing w:after="0" w:line="240" w:lineRule="auto"/>
              <w:jc w:val="center"/>
              <w:rPr>
                <w:sz w:val="18"/>
                <w:szCs w:val="18"/>
              </w:rPr>
            </w:pPr>
            <w:r>
              <w:rPr>
                <w:sz w:val="18"/>
                <w:szCs w:val="18"/>
              </w:rPr>
              <w:t>0.976282354</w:t>
            </w:r>
          </w:p>
        </w:tc>
      </w:tr>
      <w:tr w:rsidR="00340A38" w14:paraId="15D46221" w14:textId="77777777" w:rsidTr="00ED6383">
        <w:trPr>
          <w:trHeight w:val="430"/>
        </w:trPr>
        <w:tc>
          <w:tcPr>
            <w:tcW w:w="1350" w:type="dxa"/>
            <w:tcBorders>
              <w:top w:val="nil"/>
              <w:left w:val="nil"/>
              <w:bottom w:val="nil"/>
              <w:right w:val="nil"/>
            </w:tcBorders>
            <w:tcMar>
              <w:top w:w="20" w:type="dxa"/>
              <w:left w:w="20" w:type="dxa"/>
              <w:right w:w="20" w:type="dxa"/>
            </w:tcMar>
            <w:vAlign w:val="bottom"/>
          </w:tcPr>
          <w:p w14:paraId="4D24898F" w14:textId="77777777" w:rsidR="00340A38" w:rsidRDefault="00000000" w:rsidP="00ED6383">
            <w:pPr>
              <w:spacing w:after="0" w:line="240" w:lineRule="auto"/>
              <w:jc w:val="center"/>
              <w:rPr>
                <w:sz w:val="18"/>
                <w:szCs w:val="18"/>
              </w:rPr>
            </w:pPr>
            <w:r>
              <w:rPr>
                <w:sz w:val="18"/>
                <w:szCs w:val="18"/>
              </w:rPr>
              <w:t>IT &amp; Information</w:t>
            </w:r>
          </w:p>
        </w:tc>
        <w:tc>
          <w:tcPr>
            <w:tcW w:w="1080" w:type="dxa"/>
            <w:tcBorders>
              <w:top w:val="nil"/>
              <w:left w:val="nil"/>
              <w:bottom w:val="nil"/>
              <w:right w:val="nil"/>
            </w:tcBorders>
            <w:tcMar>
              <w:top w:w="20" w:type="dxa"/>
              <w:left w:w="20" w:type="dxa"/>
              <w:bottom w:w="100" w:type="dxa"/>
              <w:right w:w="20" w:type="dxa"/>
            </w:tcMar>
            <w:vAlign w:val="bottom"/>
          </w:tcPr>
          <w:p w14:paraId="0DBE1868" w14:textId="77777777" w:rsidR="00340A38" w:rsidRDefault="00000000" w:rsidP="00ED6383">
            <w:pPr>
              <w:spacing w:after="0" w:line="240" w:lineRule="auto"/>
              <w:jc w:val="center"/>
              <w:rPr>
                <w:sz w:val="18"/>
                <w:szCs w:val="18"/>
              </w:rPr>
            </w:pPr>
            <w:r>
              <w:rPr>
                <w:sz w:val="18"/>
                <w:szCs w:val="18"/>
              </w:rPr>
              <w:t>576</w:t>
            </w:r>
          </w:p>
        </w:tc>
        <w:tc>
          <w:tcPr>
            <w:tcW w:w="1080" w:type="dxa"/>
            <w:tcBorders>
              <w:top w:val="nil"/>
              <w:left w:val="nil"/>
              <w:bottom w:val="nil"/>
              <w:right w:val="nil"/>
            </w:tcBorders>
            <w:tcMar>
              <w:top w:w="20" w:type="dxa"/>
              <w:left w:w="20" w:type="dxa"/>
              <w:bottom w:w="100" w:type="dxa"/>
              <w:right w:w="20" w:type="dxa"/>
            </w:tcMar>
            <w:vAlign w:val="bottom"/>
          </w:tcPr>
          <w:p w14:paraId="50BAFF02" w14:textId="77777777" w:rsidR="00340A38" w:rsidRDefault="00000000" w:rsidP="00ED6383">
            <w:pPr>
              <w:spacing w:after="0" w:line="240" w:lineRule="auto"/>
              <w:jc w:val="center"/>
              <w:rPr>
                <w:sz w:val="18"/>
                <w:szCs w:val="18"/>
              </w:rPr>
            </w:pPr>
            <w:r>
              <w:rPr>
                <w:sz w:val="18"/>
                <w:szCs w:val="18"/>
              </w:rPr>
              <w:t>0.359269882</w:t>
            </w:r>
          </w:p>
        </w:tc>
        <w:tc>
          <w:tcPr>
            <w:tcW w:w="1080" w:type="dxa"/>
            <w:tcBorders>
              <w:top w:val="nil"/>
              <w:left w:val="nil"/>
              <w:bottom w:val="nil"/>
              <w:right w:val="nil"/>
            </w:tcBorders>
            <w:tcMar>
              <w:top w:w="20" w:type="dxa"/>
              <w:left w:w="20" w:type="dxa"/>
              <w:bottom w:w="100" w:type="dxa"/>
              <w:right w:w="20" w:type="dxa"/>
            </w:tcMar>
            <w:vAlign w:val="bottom"/>
          </w:tcPr>
          <w:p w14:paraId="30D5D688" w14:textId="77777777" w:rsidR="00340A38" w:rsidRDefault="00000000" w:rsidP="00ED6383">
            <w:pPr>
              <w:spacing w:after="0" w:line="240" w:lineRule="auto"/>
              <w:jc w:val="center"/>
              <w:rPr>
                <w:sz w:val="18"/>
                <w:szCs w:val="18"/>
              </w:rPr>
            </w:pPr>
            <w:r>
              <w:rPr>
                <w:sz w:val="18"/>
                <w:szCs w:val="18"/>
              </w:rPr>
              <w:t>0.45977162</w:t>
            </w:r>
          </w:p>
        </w:tc>
        <w:tc>
          <w:tcPr>
            <w:tcW w:w="1080" w:type="dxa"/>
            <w:tcBorders>
              <w:top w:val="nil"/>
              <w:left w:val="nil"/>
              <w:bottom w:val="nil"/>
              <w:right w:val="nil"/>
            </w:tcBorders>
            <w:tcMar>
              <w:top w:w="20" w:type="dxa"/>
              <w:left w:w="20" w:type="dxa"/>
              <w:bottom w:w="100" w:type="dxa"/>
              <w:right w:w="20" w:type="dxa"/>
            </w:tcMar>
            <w:vAlign w:val="bottom"/>
          </w:tcPr>
          <w:p w14:paraId="1693DAFA" w14:textId="77777777" w:rsidR="00340A38" w:rsidRDefault="00000000" w:rsidP="00ED6383">
            <w:pPr>
              <w:spacing w:after="0" w:line="240" w:lineRule="auto"/>
              <w:jc w:val="center"/>
              <w:rPr>
                <w:sz w:val="18"/>
                <w:szCs w:val="18"/>
              </w:rPr>
            </w:pPr>
            <w:r>
              <w:rPr>
                <w:sz w:val="18"/>
                <w:szCs w:val="18"/>
              </w:rPr>
              <w:t>0.021371</w:t>
            </w:r>
          </w:p>
        </w:tc>
        <w:tc>
          <w:tcPr>
            <w:tcW w:w="1080" w:type="dxa"/>
            <w:tcBorders>
              <w:top w:val="nil"/>
              <w:left w:val="nil"/>
              <w:bottom w:val="nil"/>
              <w:right w:val="nil"/>
            </w:tcBorders>
            <w:tcMar>
              <w:top w:w="20" w:type="dxa"/>
              <w:left w:w="20" w:type="dxa"/>
              <w:bottom w:w="100" w:type="dxa"/>
              <w:right w:w="20" w:type="dxa"/>
            </w:tcMar>
            <w:vAlign w:val="bottom"/>
          </w:tcPr>
          <w:p w14:paraId="41446BCE" w14:textId="77777777" w:rsidR="00340A38" w:rsidRDefault="00000000" w:rsidP="00ED6383">
            <w:pPr>
              <w:spacing w:after="0" w:line="240" w:lineRule="auto"/>
              <w:jc w:val="center"/>
              <w:rPr>
                <w:sz w:val="18"/>
                <w:szCs w:val="18"/>
              </w:rPr>
            </w:pPr>
            <w:r>
              <w:rPr>
                <w:sz w:val="18"/>
                <w:szCs w:val="18"/>
              </w:rPr>
              <w:t>0.328361</w:t>
            </w:r>
          </w:p>
        </w:tc>
        <w:tc>
          <w:tcPr>
            <w:tcW w:w="1080" w:type="dxa"/>
            <w:tcBorders>
              <w:top w:val="nil"/>
              <w:left w:val="nil"/>
              <w:bottom w:val="nil"/>
              <w:right w:val="nil"/>
            </w:tcBorders>
            <w:tcMar>
              <w:top w:w="20" w:type="dxa"/>
              <w:left w:w="20" w:type="dxa"/>
              <w:bottom w:w="100" w:type="dxa"/>
              <w:right w:w="20" w:type="dxa"/>
            </w:tcMar>
            <w:vAlign w:val="bottom"/>
          </w:tcPr>
          <w:p w14:paraId="78E8A682" w14:textId="77777777" w:rsidR="00340A38" w:rsidRDefault="00000000" w:rsidP="00ED6383">
            <w:pPr>
              <w:spacing w:after="0" w:line="240" w:lineRule="auto"/>
              <w:jc w:val="center"/>
              <w:rPr>
                <w:sz w:val="18"/>
                <w:szCs w:val="18"/>
              </w:rPr>
            </w:pPr>
            <w:r>
              <w:rPr>
                <w:sz w:val="18"/>
                <w:szCs w:val="18"/>
              </w:rPr>
              <w:t>8.256422</w:t>
            </w:r>
          </w:p>
        </w:tc>
        <w:tc>
          <w:tcPr>
            <w:tcW w:w="1065" w:type="dxa"/>
            <w:tcBorders>
              <w:top w:val="nil"/>
              <w:left w:val="nil"/>
              <w:bottom w:val="nil"/>
              <w:right w:val="nil"/>
            </w:tcBorders>
            <w:tcMar>
              <w:top w:w="20" w:type="dxa"/>
              <w:left w:w="20" w:type="dxa"/>
              <w:bottom w:w="100" w:type="dxa"/>
              <w:right w:w="20" w:type="dxa"/>
            </w:tcMar>
            <w:vAlign w:val="bottom"/>
          </w:tcPr>
          <w:p w14:paraId="1048BFEB" w14:textId="77777777" w:rsidR="00340A38" w:rsidRDefault="00000000" w:rsidP="00ED6383">
            <w:pPr>
              <w:spacing w:after="0" w:line="240" w:lineRule="auto"/>
              <w:jc w:val="center"/>
              <w:rPr>
                <w:sz w:val="18"/>
                <w:szCs w:val="18"/>
              </w:rPr>
            </w:pPr>
            <w:r>
              <w:rPr>
                <w:sz w:val="18"/>
                <w:szCs w:val="18"/>
              </w:rPr>
              <w:t>13.39181074</w:t>
            </w:r>
          </w:p>
        </w:tc>
        <w:tc>
          <w:tcPr>
            <w:tcW w:w="1065" w:type="dxa"/>
            <w:tcBorders>
              <w:top w:val="nil"/>
              <w:left w:val="nil"/>
              <w:bottom w:val="nil"/>
              <w:right w:val="nil"/>
            </w:tcBorders>
            <w:tcMar>
              <w:top w:w="20" w:type="dxa"/>
              <w:left w:w="20" w:type="dxa"/>
              <w:bottom w:w="100" w:type="dxa"/>
              <w:right w:w="20" w:type="dxa"/>
            </w:tcMar>
            <w:vAlign w:val="bottom"/>
          </w:tcPr>
          <w:p w14:paraId="51F7430E" w14:textId="77777777" w:rsidR="00340A38" w:rsidRDefault="00000000" w:rsidP="00ED6383">
            <w:pPr>
              <w:spacing w:after="0" w:line="240" w:lineRule="auto"/>
              <w:jc w:val="center"/>
              <w:rPr>
                <w:sz w:val="18"/>
                <w:szCs w:val="18"/>
              </w:rPr>
            </w:pPr>
            <w:r>
              <w:rPr>
                <w:sz w:val="18"/>
                <w:szCs w:val="18"/>
              </w:rPr>
              <w:t>212.9611816</w:t>
            </w:r>
          </w:p>
        </w:tc>
      </w:tr>
      <w:tr w:rsidR="00340A38" w14:paraId="1862E108" w14:textId="77777777" w:rsidTr="00ED6383">
        <w:trPr>
          <w:trHeight w:val="430"/>
        </w:trPr>
        <w:tc>
          <w:tcPr>
            <w:tcW w:w="1350" w:type="dxa"/>
            <w:tcBorders>
              <w:top w:val="nil"/>
              <w:left w:val="nil"/>
              <w:bottom w:val="nil"/>
              <w:right w:val="nil"/>
            </w:tcBorders>
            <w:tcMar>
              <w:top w:w="20" w:type="dxa"/>
              <w:left w:w="20" w:type="dxa"/>
              <w:right w:w="20" w:type="dxa"/>
            </w:tcMar>
            <w:vAlign w:val="bottom"/>
          </w:tcPr>
          <w:p w14:paraId="0FC55100" w14:textId="77777777" w:rsidR="00340A38" w:rsidRDefault="00000000" w:rsidP="00ED6383">
            <w:pPr>
              <w:spacing w:after="0" w:line="240" w:lineRule="auto"/>
              <w:jc w:val="center"/>
              <w:rPr>
                <w:sz w:val="18"/>
                <w:szCs w:val="18"/>
              </w:rPr>
            </w:pPr>
            <w:r>
              <w:rPr>
                <w:sz w:val="18"/>
                <w:szCs w:val="18"/>
              </w:rPr>
              <w:t>Real Estate</w:t>
            </w:r>
          </w:p>
        </w:tc>
        <w:tc>
          <w:tcPr>
            <w:tcW w:w="1080" w:type="dxa"/>
            <w:tcBorders>
              <w:top w:val="nil"/>
              <w:left w:val="nil"/>
              <w:bottom w:val="nil"/>
              <w:right w:val="nil"/>
            </w:tcBorders>
            <w:tcMar>
              <w:top w:w="20" w:type="dxa"/>
              <w:left w:w="20" w:type="dxa"/>
              <w:bottom w:w="100" w:type="dxa"/>
              <w:right w:w="20" w:type="dxa"/>
            </w:tcMar>
            <w:vAlign w:val="bottom"/>
          </w:tcPr>
          <w:p w14:paraId="1FC12BA4" w14:textId="77777777" w:rsidR="00340A38" w:rsidRDefault="00000000" w:rsidP="00ED6383">
            <w:pPr>
              <w:spacing w:after="0" w:line="240" w:lineRule="auto"/>
              <w:jc w:val="center"/>
              <w:rPr>
                <w:sz w:val="18"/>
                <w:szCs w:val="18"/>
              </w:rPr>
            </w:pPr>
            <w:r>
              <w:rPr>
                <w:sz w:val="18"/>
                <w:szCs w:val="18"/>
              </w:rPr>
              <w:t>348</w:t>
            </w:r>
          </w:p>
        </w:tc>
        <w:tc>
          <w:tcPr>
            <w:tcW w:w="1080" w:type="dxa"/>
            <w:tcBorders>
              <w:top w:val="nil"/>
              <w:left w:val="nil"/>
              <w:bottom w:val="nil"/>
              <w:right w:val="nil"/>
            </w:tcBorders>
            <w:tcMar>
              <w:top w:w="20" w:type="dxa"/>
              <w:left w:w="20" w:type="dxa"/>
              <w:bottom w:w="100" w:type="dxa"/>
              <w:right w:w="20" w:type="dxa"/>
            </w:tcMar>
            <w:vAlign w:val="bottom"/>
          </w:tcPr>
          <w:p w14:paraId="50B406B9" w14:textId="77777777" w:rsidR="00340A38" w:rsidRDefault="00000000" w:rsidP="00ED6383">
            <w:pPr>
              <w:spacing w:after="0" w:line="240" w:lineRule="auto"/>
              <w:jc w:val="center"/>
              <w:rPr>
                <w:sz w:val="18"/>
                <w:szCs w:val="18"/>
              </w:rPr>
            </w:pPr>
            <w:r>
              <w:rPr>
                <w:sz w:val="18"/>
                <w:szCs w:val="18"/>
              </w:rPr>
              <w:t>0.654143391</w:t>
            </w:r>
          </w:p>
        </w:tc>
        <w:tc>
          <w:tcPr>
            <w:tcW w:w="1080" w:type="dxa"/>
            <w:tcBorders>
              <w:top w:val="nil"/>
              <w:left w:val="nil"/>
              <w:bottom w:val="nil"/>
              <w:right w:val="nil"/>
            </w:tcBorders>
            <w:tcMar>
              <w:top w:w="20" w:type="dxa"/>
              <w:left w:w="20" w:type="dxa"/>
              <w:bottom w:w="100" w:type="dxa"/>
              <w:right w:w="20" w:type="dxa"/>
            </w:tcMar>
            <w:vAlign w:val="bottom"/>
          </w:tcPr>
          <w:p w14:paraId="2572C060" w14:textId="77777777" w:rsidR="00340A38" w:rsidRDefault="00000000" w:rsidP="00ED6383">
            <w:pPr>
              <w:spacing w:after="0" w:line="240" w:lineRule="auto"/>
              <w:jc w:val="center"/>
              <w:rPr>
                <w:sz w:val="18"/>
                <w:szCs w:val="18"/>
              </w:rPr>
            </w:pPr>
            <w:r>
              <w:rPr>
                <w:sz w:val="18"/>
                <w:szCs w:val="18"/>
              </w:rPr>
              <w:t>0.152023235</w:t>
            </w:r>
          </w:p>
        </w:tc>
        <w:tc>
          <w:tcPr>
            <w:tcW w:w="1080" w:type="dxa"/>
            <w:tcBorders>
              <w:top w:val="nil"/>
              <w:left w:val="nil"/>
              <w:bottom w:val="nil"/>
              <w:right w:val="nil"/>
            </w:tcBorders>
            <w:tcMar>
              <w:top w:w="20" w:type="dxa"/>
              <w:left w:w="20" w:type="dxa"/>
              <w:bottom w:w="100" w:type="dxa"/>
              <w:right w:w="20" w:type="dxa"/>
            </w:tcMar>
            <w:vAlign w:val="bottom"/>
          </w:tcPr>
          <w:p w14:paraId="3E4ADC32" w14:textId="77777777" w:rsidR="00340A38" w:rsidRDefault="00000000" w:rsidP="00ED6383">
            <w:pPr>
              <w:spacing w:after="0" w:line="240" w:lineRule="auto"/>
              <w:jc w:val="center"/>
              <w:rPr>
                <w:sz w:val="18"/>
                <w:szCs w:val="18"/>
              </w:rPr>
            </w:pPr>
            <w:r>
              <w:rPr>
                <w:sz w:val="18"/>
                <w:szCs w:val="18"/>
              </w:rPr>
              <w:t>0.14803</w:t>
            </w:r>
          </w:p>
        </w:tc>
        <w:tc>
          <w:tcPr>
            <w:tcW w:w="1080" w:type="dxa"/>
            <w:tcBorders>
              <w:top w:val="nil"/>
              <w:left w:val="nil"/>
              <w:bottom w:val="nil"/>
              <w:right w:val="nil"/>
            </w:tcBorders>
            <w:tcMar>
              <w:top w:w="20" w:type="dxa"/>
              <w:left w:w="20" w:type="dxa"/>
              <w:bottom w:w="100" w:type="dxa"/>
              <w:right w:w="20" w:type="dxa"/>
            </w:tcMar>
            <w:vAlign w:val="bottom"/>
          </w:tcPr>
          <w:p w14:paraId="58EE4247" w14:textId="77777777" w:rsidR="00340A38" w:rsidRDefault="00000000" w:rsidP="00ED6383">
            <w:pPr>
              <w:spacing w:after="0" w:line="240" w:lineRule="auto"/>
              <w:jc w:val="center"/>
              <w:rPr>
                <w:sz w:val="18"/>
                <w:szCs w:val="18"/>
              </w:rPr>
            </w:pPr>
            <w:r>
              <w:rPr>
                <w:sz w:val="18"/>
                <w:szCs w:val="18"/>
              </w:rPr>
              <w:t>0.676696</w:t>
            </w:r>
          </w:p>
        </w:tc>
        <w:tc>
          <w:tcPr>
            <w:tcW w:w="1080" w:type="dxa"/>
            <w:tcBorders>
              <w:top w:val="nil"/>
              <w:left w:val="nil"/>
              <w:bottom w:val="nil"/>
              <w:right w:val="nil"/>
            </w:tcBorders>
            <w:tcMar>
              <w:top w:w="20" w:type="dxa"/>
              <w:left w:w="20" w:type="dxa"/>
              <w:bottom w:w="100" w:type="dxa"/>
              <w:right w:w="20" w:type="dxa"/>
            </w:tcMar>
            <w:vAlign w:val="bottom"/>
          </w:tcPr>
          <w:p w14:paraId="47718F02" w14:textId="77777777" w:rsidR="00340A38" w:rsidRDefault="00000000" w:rsidP="00ED6383">
            <w:pPr>
              <w:spacing w:after="0" w:line="240" w:lineRule="auto"/>
              <w:jc w:val="center"/>
              <w:rPr>
                <w:sz w:val="18"/>
                <w:szCs w:val="18"/>
              </w:rPr>
            </w:pPr>
            <w:r>
              <w:rPr>
                <w:sz w:val="18"/>
                <w:szCs w:val="18"/>
              </w:rPr>
              <w:t>0.954899</w:t>
            </w:r>
          </w:p>
        </w:tc>
        <w:tc>
          <w:tcPr>
            <w:tcW w:w="1065" w:type="dxa"/>
            <w:tcBorders>
              <w:top w:val="nil"/>
              <w:left w:val="nil"/>
              <w:bottom w:val="nil"/>
              <w:right w:val="nil"/>
            </w:tcBorders>
            <w:tcMar>
              <w:top w:w="20" w:type="dxa"/>
              <w:left w:w="20" w:type="dxa"/>
              <w:bottom w:w="100" w:type="dxa"/>
              <w:right w:w="20" w:type="dxa"/>
            </w:tcMar>
            <w:vAlign w:val="bottom"/>
          </w:tcPr>
          <w:p w14:paraId="6A882B2C" w14:textId="77777777" w:rsidR="00340A38" w:rsidRDefault="00000000" w:rsidP="00ED6383">
            <w:pPr>
              <w:spacing w:after="0" w:line="240" w:lineRule="auto"/>
              <w:jc w:val="center"/>
              <w:rPr>
                <w:sz w:val="18"/>
                <w:szCs w:val="18"/>
              </w:rPr>
            </w:pPr>
            <w:r>
              <w:rPr>
                <w:sz w:val="18"/>
                <w:szCs w:val="18"/>
              </w:rPr>
              <w:t>-0.704429707</w:t>
            </w:r>
          </w:p>
        </w:tc>
        <w:tc>
          <w:tcPr>
            <w:tcW w:w="1065" w:type="dxa"/>
            <w:tcBorders>
              <w:top w:val="nil"/>
              <w:left w:val="nil"/>
              <w:bottom w:val="nil"/>
              <w:right w:val="nil"/>
            </w:tcBorders>
            <w:tcMar>
              <w:top w:w="20" w:type="dxa"/>
              <w:left w:w="20" w:type="dxa"/>
              <w:bottom w:w="100" w:type="dxa"/>
              <w:right w:w="20" w:type="dxa"/>
            </w:tcMar>
            <w:vAlign w:val="bottom"/>
          </w:tcPr>
          <w:p w14:paraId="04ED22F6" w14:textId="77777777" w:rsidR="00340A38" w:rsidRDefault="00000000" w:rsidP="00ED6383">
            <w:pPr>
              <w:spacing w:after="0" w:line="240" w:lineRule="auto"/>
              <w:jc w:val="center"/>
              <w:rPr>
                <w:sz w:val="18"/>
                <w:szCs w:val="18"/>
              </w:rPr>
            </w:pPr>
            <w:r>
              <w:rPr>
                <w:sz w:val="18"/>
                <w:szCs w:val="18"/>
              </w:rPr>
              <w:t>0.339408438</w:t>
            </w:r>
          </w:p>
        </w:tc>
      </w:tr>
      <w:tr w:rsidR="00340A38" w14:paraId="15074146" w14:textId="77777777" w:rsidTr="00ED6383">
        <w:trPr>
          <w:trHeight w:val="430"/>
        </w:trPr>
        <w:tc>
          <w:tcPr>
            <w:tcW w:w="1350" w:type="dxa"/>
            <w:tcBorders>
              <w:top w:val="nil"/>
              <w:left w:val="nil"/>
              <w:bottom w:val="nil"/>
              <w:right w:val="nil"/>
            </w:tcBorders>
            <w:tcMar>
              <w:top w:w="20" w:type="dxa"/>
              <w:left w:w="20" w:type="dxa"/>
              <w:right w:w="20" w:type="dxa"/>
            </w:tcMar>
            <w:vAlign w:val="bottom"/>
          </w:tcPr>
          <w:p w14:paraId="245FA316" w14:textId="77777777" w:rsidR="00340A38" w:rsidRDefault="00000000" w:rsidP="00ED6383">
            <w:pPr>
              <w:spacing w:after="0" w:line="240" w:lineRule="auto"/>
              <w:jc w:val="center"/>
              <w:rPr>
                <w:sz w:val="18"/>
                <w:szCs w:val="18"/>
              </w:rPr>
            </w:pPr>
            <w:r>
              <w:rPr>
                <w:sz w:val="18"/>
                <w:szCs w:val="18"/>
              </w:rPr>
              <w:t>Leasing &amp; Business Services</w:t>
            </w:r>
          </w:p>
        </w:tc>
        <w:tc>
          <w:tcPr>
            <w:tcW w:w="1080" w:type="dxa"/>
            <w:tcBorders>
              <w:top w:val="nil"/>
              <w:left w:val="nil"/>
              <w:bottom w:val="nil"/>
              <w:right w:val="nil"/>
            </w:tcBorders>
            <w:tcMar>
              <w:top w:w="20" w:type="dxa"/>
              <w:left w:w="20" w:type="dxa"/>
              <w:bottom w:w="100" w:type="dxa"/>
              <w:right w:w="20" w:type="dxa"/>
            </w:tcMar>
            <w:vAlign w:val="bottom"/>
          </w:tcPr>
          <w:p w14:paraId="040038CB" w14:textId="77777777" w:rsidR="00340A38" w:rsidRDefault="00000000" w:rsidP="00ED6383">
            <w:pPr>
              <w:spacing w:after="0" w:line="240" w:lineRule="auto"/>
              <w:jc w:val="center"/>
              <w:rPr>
                <w:sz w:val="18"/>
                <w:szCs w:val="18"/>
              </w:rPr>
            </w:pPr>
            <w:r>
              <w:rPr>
                <w:sz w:val="18"/>
                <w:szCs w:val="18"/>
              </w:rPr>
              <w:t>120</w:t>
            </w:r>
          </w:p>
        </w:tc>
        <w:tc>
          <w:tcPr>
            <w:tcW w:w="1080" w:type="dxa"/>
            <w:tcBorders>
              <w:top w:val="nil"/>
              <w:left w:val="nil"/>
              <w:bottom w:val="nil"/>
              <w:right w:val="nil"/>
            </w:tcBorders>
            <w:tcMar>
              <w:top w:w="20" w:type="dxa"/>
              <w:left w:w="20" w:type="dxa"/>
              <w:bottom w:w="100" w:type="dxa"/>
              <w:right w:w="20" w:type="dxa"/>
            </w:tcMar>
            <w:vAlign w:val="bottom"/>
          </w:tcPr>
          <w:p w14:paraId="178F8742" w14:textId="77777777" w:rsidR="00340A38" w:rsidRDefault="00000000" w:rsidP="00ED6383">
            <w:pPr>
              <w:spacing w:after="0" w:line="240" w:lineRule="auto"/>
              <w:jc w:val="center"/>
              <w:rPr>
                <w:sz w:val="18"/>
                <w:szCs w:val="18"/>
              </w:rPr>
            </w:pPr>
            <w:r>
              <w:rPr>
                <w:sz w:val="18"/>
                <w:szCs w:val="18"/>
              </w:rPr>
              <w:t>0.617529442</w:t>
            </w:r>
          </w:p>
        </w:tc>
        <w:tc>
          <w:tcPr>
            <w:tcW w:w="1080" w:type="dxa"/>
            <w:tcBorders>
              <w:top w:val="nil"/>
              <w:left w:val="nil"/>
              <w:bottom w:val="nil"/>
              <w:right w:val="nil"/>
            </w:tcBorders>
            <w:tcMar>
              <w:top w:w="20" w:type="dxa"/>
              <w:left w:w="20" w:type="dxa"/>
              <w:bottom w:w="100" w:type="dxa"/>
              <w:right w:w="20" w:type="dxa"/>
            </w:tcMar>
            <w:vAlign w:val="bottom"/>
          </w:tcPr>
          <w:p w14:paraId="7844BBB3" w14:textId="77777777" w:rsidR="00340A38" w:rsidRDefault="00000000" w:rsidP="00ED6383">
            <w:pPr>
              <w:spacing w:after="0" w:line="240" w:lineRule="auto"/>
              <w:jc w:val="center"/>
              <w:rPr>
                <w:sz w:val="18"/>
                <w:szCs w:val="18"/>
              </w:rPr>
            </w:pPr>
            <w:r>
              <w:rPr>
                <w:sz w:val="18"/>
                <w:szCs w:val="18"/>
              </w:rPr>
              <w:t>0.626906731</w:t>
            </w:r>
          </w:p>
        </w:tc>
        <w:tc>
          <w:tcPr>
            <w:tcW w:w="1080" w:type="dxa"/>
            <w:tcBorders>
              <w:top w:val="nil"/>
              <w:left w:val="nil"/>
              <w:bottom w:val="nil"/>
              <w:right w:val="nil"/>
            </w:tcBorders>
            <w:tcMar>
              <w:top w:w="20" w:type="dxa"/>
              <w:left w:w="20" w:type="dxa"/>
              <w:bottom w:w="100" w:type="dxa"/>
              <w:right w:w="20" w:type="dxa"/>
            </w:tcMar>
            <w:vAlign w:val="bottom"/>
          </w:tcPr>
          <w:p w14:paraId="7FE1C23A" w14:textId="77777777" w:rsidR="00340A38" w:rsidRDefault="00000000" w:rsidP="00ED6383">
            <w:pPr>
              <w:spacing w:after="0" w:line="240" w:lineRule="auto"/>
              <w:jc w:val="center"/>
              <w:rPr>
                <w:sz w:val="18"/>
                <w:szCs w:val="18"/>
              </w:rPr>
            </w:pPr>
            <w:r>
              <w:rPr>
                <w:sz w:val="18"/>
                <w:szCs w:val="18"/>
              </w:rPr>
              <w:t>0.09125</w:t>
            </w:r>
          </w:p>
        </w:tc>
        <w:tc>
          <w:tcPr>
            <w:tcW w:w="1080" w:type="dxa"/>
            <w:tcBorders>
              <w:top w:val="nil"/>
              <w:left w:val="nil"/>
              <w:bottom w:val="nil"/>
              <w:right w:val="nil"/>
            </w:tcBorders>
            <w:tcMar>
              <w:top w:w="20" w:type="dxa"/>
              <w:left w:w="20" w:type="dxa"/>
              <w:bottom w:w="100" w:type="dxa"/>
              <w:right w:w="20" w:type="dxa"/>
            </w:tcMar>
            <w:vAlign w:val="bottom"/>
          </w:tcPr>
          <w:p w14:paraId="12E5232F" w14:textId="77777777" w:rsidR="00340A38" w:rsidRDefault="00000000" w:rsidP="00ED6383">
            <w:pPr>
              <w:spacing w:after="0" w:line="240" w:lineRule="auto"/>
              <w:jc w:val="center"/>
              <w:rPr>
                <w:sz w:val="18"/>
                <w:szCs w:val="18"/>
              </w:rPr>
            </w:pPr>
            <w:r>
              <w:rPr>
                <w:sz w:val="18"/>
                <w:szCs w:val="18"/>
              </w:rPr>
              <w:t>0.5164885</w:t>
            </w:r>
          </w:p>
        </w:tc>
        <w:tc>
          <w:tcPr>
            <w:tcW w:w="1080" w:type="dxa"/>
            <w:tcBorders>
              <w:top w:val="nil"/>
              <w:left w:val="nil"/>
              <w:bottom w:val="nil"/>
              <w:right w:val="nil"/>
            </w:tcBorders>
            <w:tcMar>
              <w:top w:w="20" w:type="dxa"/>
              <w:left w:w="20" w:type="dxa"/>
              <w:bottom w:w="100" w:type="dxa"/>
              <w:right w:w="20" w:type="dxa"/>
            </w:tcMar>
            <w:vAlign w:val="bottom"/>
          </w:tcPr>
          <w:p w14:paraId="7B837C24" w14:textId="77777777" w:rsidR="00340A38" w:rsidRDefault="00000000" w:rsidP="00ED6383">
            <w:pPr>
              <w:spacing w:after="0" w:line="240" w:lineRule="auto"/>
              <w:jc w:val="center"/>
              <w:rPr>
                <w:sz w:val="18"/>
                <w:szCs w:val="18"/>
              </w:rPr>
            </w:pPr>
            <w:r>
              <w:rPr>
                <w:sz w:val="18"/>
                <w:szCs w:val="18"/>
              </w:rPr>
              <w:t>4.995245</w:t>
            </w:r>
          </w:p>
        </w:tc>
        <w:tc>
          <w:tcPr>
            <w:tcW w:w="1065" w:type="dxa"/>
            <w:tcBorders>
              <w:top w:val="nil"/>
              <w:left w:val="nil"/>
              <w:bottom w:val="nil"/>
              <w:right w:val="nil"/>
            </w:tcBorders>
            <w:tcMar>
              <w:top w:w="20" w:type="dxa"/>
              <w:left w:w="20" w:type="dxa"/>
              <w:bottom w:w="100" w:type="dxa"/>
              <w:right w:w="20" w:type="dxa"/>
            </w:tcMar>
            <w:vAlign w:val="bottom"/>
          </w:tcPr>
          <w:p w14:paraId="7E3E6883" w14:textId="77777777" w:rsidR="00340A38" w:rsidRDefault="00000000" w:rsidP="00ED6383">
            <w:pPr>
              <w:spacing w:after="0" w:line="240" w:lineRule="auto"/>
              <w:jc w:val="center"/>
              <w:rPr>
                <w:sz w:val="18"/>
                <w:szCs w:val="18"/>
              </w:rPr>
            </w:pPr>
            <w:r>
              <w:rPr>
                <w:sz w:val="18"/>
                <w:szCs w:val="18"/>
              </w:rPr>
              <w:t>5.385289103</w:t>
            </w:r>
          </w:p>
        </w:tc>
        <w:tc>
          <w:tcPr>
            <w:tcW w:w="1065" w:type="dxa"/>
            <w:tcBorders>
              <w:top w:val="nil"/>
              <w:left w:val="nil"/>
              <w:bottom w:val="nil"/>
              <w:right w:val="nil"/>
            </w:tcBorders>
            <w:tcMar>
              <w:top w:w="20" w:type="dxa"/>
              <w:left w:w="20" w:type="dxa"/>
              <w:bottom w:w="100" w:type="dxa"/>
              <w:right w:w="20" w:type="dxa"/>
            </w:tcMar>
            <w:vAlign w:val="bottom"/>
          </w:tcPr>
          <w:p w14:paraId="3B3C57F6" w14:textId="77777777" w:rsidR="00340A38" w:rsidRDefault="00000000" w:rsidP="00ED6383">
            <w:pPr>
              <w:spacing w:after="0" w:line="240" w:lineRule="auto"/>
              <w:jc w:val="center"/>
              <w:rPr>
                <w:sz w:val="18"/>
                <w:szCs w:val="18"/>
              </w:rPr>
            </w:pPr>
            <w:r>
              <w:rPr>
                <w:sz w:val="18"/>
                <w:szCs w:val="18"/>
              </w:rPr>
              <w:t>33.21412976</w:t>
            </w:r>
          </w:p>
        </w:tc>
      </w:tr>
      <w:tr w:rsidR="00340A38" w14:paraId="06CFBE31" w14:textId="77777777" w:rsidTr="00ED6383">
        <w:trPr>
          <w:trHeight w:val="430"/>
        </w:trPr>
        <w:tc>
          <w:tcPr>
            <w:tcW w:w="1350" w:type="dxa"/>
            <w:tcBorders>
              <w:top w:val="nil"/>
              <w:left w:val="nil"/>
              <w:bottom w:val="nil"/>
              <w:right w:val="nil"/>
            </w:tcBorders>
            <w:tcMar>
              <w:top w:w="20" w:type="dxa"/>
              <w:left w:w="20" w:type="dxa"/>
              <w:right w:w="20" w:type="dxa"/>
            </w:tcMar>
            <w:vAlign w:val="bottom"/>
          </w:tcPr>
          <w:p w14:paraId="525FEA27" w14:textId="77777777" w:rsidR="00340A38" w:rsidRDefault="00000000" w:rsidP="00ED6383">
            <w:pPr>
              <w:spacing w:after="0" w:line="240" w:lineRule="auto"/>
              <w:jc w:val="center"/>
              <w:rPr>
                <w:sz w:val="18"/>
                <w:szCs w:val="18"/>
              </w:rPr>
            </w:pPr>
            <w:r>
              <w:rPr>
                <w:sz w:val="18"/>
                <w:szCs w:val="18"/>
              </w:rPr>
              <w:t>Technical Service</w:t>
            </w:r>
          </w:p>
        </w:tc>
        <w:tc>
          <w:tcPr>
            <w:tcW w:w="1080" w:type="dxa"/>
            <w:tcBorders>
              <w:top w:val="nil"/>
              <w:left w:val="nil"/>
              <w:bottom w:val="nil"/>
              <w:right w:val="nil"/>
            </w:tcBorders>
            <w:tcMar>
              <w:top w:w="20" w:type="dxa"/>
              <w:left w:w="20" w:type="dxa"/>
              <w:bottom w:w="100" w:type="dxa"/>
              <w:right w:w="20" w:type="dxa"/>
            </w:tcMar>
            <w:vAlign w:val="bottom"/>
          </w:tcPr>
          <w:p w14:paraId="44A6BE33" w14:textId="77777777" w:rsidR="00340A38" w:rsidRDefault="00000000" w:rsidP="00ED6383">
            <w:pPr>
              <w:spacing w:after="0" w:line="240" w:lineRule="auto"/>
              <w:jc w:val="center"/>
              <w:rPr>
                <w:sz w:val="18"/>
                <w:szCs w:val="18"/>
              </w:rPr>
            </w:pPr>
            <w:r>
              <w:rPr>
                <w:sz w:val="18"/>
                <w:szCs w:val="18"/>
              </w:rPr>
              <w:t>12</w:t>
            </w:r>
          </w:p>
        </w:tc>
        <w:tc>
          <w:tcPr>
            <w:tcW w:w="1080" w:type="dxa"/>
            <w:tcBorders>
              <w:top w:val="nil"/>
              <w:left w:val="nil"/>
              <w:bottom w:val="nil"/>
              <w:right w:val="nil"/>
            </w:tcBorders>
            <w:tcMar>
              <w:top w:w="20" w:type="dxa"/>
              <w:left w:w="20" w:type="dxa"/>
              <w:bottom w:w="100" w:type="dxa"/>
              <w:right w:w="20" w:type="dxa"/>
            </w:tcMar>
            <w:vAlign w:val="bottom"/>
          </w:tcPr>
          <w:p w14:paraId="4BDB70CF" w14:textId="77777777" w:rsidR="00340A38" w:rsidRDefault="00000000" w:rsidP="00ED6383">
            <w:pPr>
              <w:spacing w:after="0" w:line="240" w:lineRule="auto"/>
              <w:jc w:val="center"/>
              <w:rPr>
                <w:sz w:val="18"/>
                <w:szCs w:val="18"/>
              </w:rPr>
            </w:pPr>
            <w:r>
              <w:rPr>
                <w:sz w:val="18"/>
                <w:szCs w:val="18"/>
              </w:rPr>
              <w:t>0.173621417</w:t>
            </w:r>
          </w:p>
        </w:tc>
        <w:tc>
          <w:tcPr>
            <w:tcW w:w="1080" w:type="dxa"/>
            <w:tcBorders>
              <w:top w:val="nil"/>
              <w:left w:val="nil"/>
              <w:bottom w:val="nil"/>
              <w:right w:val="nil"/>
            </w:tcBorders>
            <w:tcMar>
              <w:top w:w="20" w:type="dxa"/>
              <w:left w:w="20" w:type="dxa"/>
              <w:bottom w:w="100" w:type="dxa"/>
              <w:right w:w="20" w:type="dxa"/>
            </w:tcMar>
            <w:vAlign w:val="bottom"/>
          </w:tcPr>
          <w:p w14:paraId="3C839D93" w14:textId="77777777" w:rsidR="00340A38" w:rsidRDefault="00000000" w:rsidP="00ED6383">
            <w:pPr>
              <w:spacing w:after="0" w:line="240" w:lineRule="auto"/>
              <w:jc w:val="center"/>
              <w:rPr>
                <w:sz w:val="18"/>
                <w:szCs w:val="18"/>
              </w:rPr>
            </w:pPr>
            <w:r>
              <w:rPr>
                <w:sz w:val="18"/>
                <w:szCs w:val="18"/>
              </w:rPr>
              <w:t>0.070934884</w:t>
            </w:r>
          </w:p>
        </w:tc>
        <w:tc>
          <w:tcPr>
            <w:tcW w:w="1080" w:type="dxa"/>
            <w:tcBorders>
              <w:top w:val="nil"/>
              <w:left w:val="nil"/>
              <w:bottom w:val="nil"/>
              <w:right w:val="nil"/>
            </w:tcBorders>
            <w:tcMar>
              <w:top w:w="20" w:type="dxa"/>
              <w:left w:w="20" w:type="dxa"/>
              <w:bottom w:w="100" w:type="dxa"/>
              <w:right w:w="20" w:type="dxa"/>
            </w:tcMar>
            <w:vAlign w:val="bottom"/>
          </w:tcPr>
          <w:p w14:paraId="2040EB38" w14:textId="77777777" w:rsidR="00340A38" w:rsidRDefault="00000000" w:rsidP="00ED6383">
            <w:pPr>
              <w:spacing w:after="0" w:line="240" w:lineRule="auto"/>
              <w:jc w:val="center"/>
              <w:rPr>
                <w:sz w:val="18"/>
                <w:szCs w:val="18"/>
              </w:rPr>
            </w:pPr>
            <w:r>
              <w:rPr>
                <w:sz w:val="18"/>
                <w:szCs w:val="18"/>
              </w:rPr>
              <w:t>0.041141</w:t>
            </w:r>
          </w:p>
        </w:tc>
        <w:tc>
          <w:tcPr>
            <w:tcW w:w="1080" w:type="dxa"/>
            <w:tcBorders>
              <w:top w:val="nil"/>
              <w:left w:val="nil"/>
              <w:bottom w:val="nil"/>
              <w:right w:val="nil"/>
            </w:tcBorders>
            <w:tcMar>
              <w:top w:w="20" w:type="dxa"/>
              <w:left w:w="20" w:type="dxa"/>
              <w:bottom w:w="100" w:type="dxa"/>
              <w:right w:w="20" w:type="dxa"/>
            </w:tcMar>
            <w:vAlign w:val="bottom"/>
          </w:tcPr>
          <w:p w14:paraId="758C7C83" w14:textId="77777777" w:rsidR="00340A38" w:rsidRDefault="00000000" w:rsidP="00ED6383">
            <w:pPr>
              <w:spacing w:after="0" w:line="240" w:lineRule="auto"/>
              <w:jc w:val="center"/>
              <w:rPr>
                <w:sz w:val="18"/>
                <w:szCs w:val="18"/>
              </w:rPr>
            </w:pPr>
            <w:r>
              <w:rPr>
                <w:sz w:val="18"/>
                <w:szCs w:val="18"/>
              </w:rPr>
              <w:t>0.16639</w:t>
            </w:r>
          </w:p>
        </w:tc>
        <w:tc>
          <w:tcPr>
            <w:tcW w:w="1080" w:type="dxa"/>
            <w:tcBorders>
              <w:top w:val="nil"/>
              <w:left w:val="nil"/>
              <w:bottom w:val="nil"/>
              <w:right w:val="nil"/>
            </w:tcBorders>
            <w:tcMar>
              <w:top w:w="20" w:type="dxa"/>
              <w:left w:w="20" w:type="dxa"/>
              <w:bottom w:w="100" w:type="dxa"/>
              <w:right w:w="20" w:type="dxa"/>
            </w:tcMar>
            <w:vAlign w:val="bottom"/>
          </w:tcPr>
          <w:p w14:paraId="29919E22" w14:textId="77777777" w:rsidR="00340A38" w:rsidRDefault="00000000" w:rsidP="00ED6383">
            <w:pPr>
              <w:spacing w:after="0" w:line="240" w:lineRule="auto"/>
              <w:jc w:val="center"/>
              <w:rPr>
                <w:sz w:val="18"/>
                <w:szCs w:val="18"/>
              </w:rPr>
            </w:pPr>
            <w:r>
              <w:rPr>
                <w:sz w:val="18"/>
                <w:szCs w:val="18"/>
              </w:rPr>
              <w:t>0.284401</w:t>
            </w:r>
          </w:p>
        </w:tc>
        <w:tc>
          <w:tcPr>
            <w:tcW w:w="1065" w:type="dxa"/>
            <w:tcBorders>
              <w:top w:val="nil"/>
              <w:left w:val="nil"/>
              <w:bottom w:val="nil"/>
              <w:right w:val="nil"/>
            </w:tcBorders>
            <w:tcMar>
              <w:top w:w="20" w:type="dxa"/>
              <w:left w:w="20" w:type="dxa"/>
              <w:bottom w:w="100" w:type="dxa"/>
              <w:right w:w="20" w:type="dxa"/>
            </w:tcMar>
            <w:vAlign w:val="bottom"/>
          </w:tcPr>
          <w:p w14:paraId="526C5172" w14:textId="77777777" w:rsidR="00340A38" w:rsidRDefault="00000000" w:rsidP="00ED6383">
            <w:pPr>
              <w:spacing w:after="0" w:line="240" w:lineRule="auto"/>
              <w:jc w:val="center"/>
              <w:rPr>
                <w:sz w:val="18"/>
                <w:szCs w:val="18"/>
              </w:rPr>
            </w:pPr>
            <w:r>
              <w:rPr>
                <w:sz w:val="18"/>
                <w:szCs w:val="18"/>
              </w:rPr>
              <w:t>-0.315939807</w:t>
            </w:r>
          </w:p>
        </w:tc>
        <w:tc>
          <w:tcPr>
            <w:tcW w:w="1065" w:type="dxa"/>
            <w:tcBorders>
              <w:top w:val="nil"/>
              <w:left w:val="nil"/>
              <w:bottom w:val="nil"/>
              <w:right w:val="nil"/>
            </w:tcBorders>
            <w:tcMar>
              <w:top w:w="20" w:type="dxa"/>
              <w:left w:w="20" w:type="dxa"/>
              <w:bottom w:w="100" w:type="dxa"/>
              <w:right w:w="20" w:type="dxa"/>
            </w:tcMar>
            <w:vAlign w:val="bottom"/>
          </w:tcPr>
          <w:p w14:paraId="207D6D1D" w14:textId="77777777" w:rsidR="00340A38" w:rsidRDefault="00000000" w:rsidP="00ED6383">
            <w:pPr>
              <w:spacing w:after="0" w:line="240" w:lineRule="auto"/>
              <w:jc w:val="center"/>
              <w:rPr>
                <w:sz w:val="18"/>
                <w:szCs w:val="18"/>
              </w:rPr>
            </w:pPr>
            <w:r>
              <w:rPr>
                <w:sz w:val="18"/>
                <w:szCs w:val="18"/>
              </w:rPr>
              <w:t>-0.444564639</w:t>
            </w:r>
          </w:p>
        </w:tc>
      </w:tr>
      <w:tr w:rsidR="00340A38" w14:paraId="539F8400" w14:textId="77777777" w:rsidTr="00ED6383">
        <w:trPr>
          <w:trHeight w:val="430"/>
        </w:trPr>
        <w:tc>
          <w:tcPr>
            <w:tcW w:w="1350" w:type="dxa"/>
            <w:tcBorders>
              <w:top w:val="nil"/>
              <w:left w:val="nil"/>
              <w:bottom w:val="nil"/>
              <w:right w:val="nil"/>
            </w:tcBorders>
            <w:tcMar>
              <w:top w:w="20" w:type="dxa"/>
              <w:left w:w="20" w:type="dxa"/>
              <w:right w:w="20" w:type="dxa"/>
            </w:tcMar>
            <w:vAlign w:val="bottom"/>
          </w:tcPr>
          <w:p w14:paraId="6AC00A4E" w14:textId="77777777" w:rsidR="00340A38" w:rsidRDefault="00000000" w:rsidP="00ED6383">
            <w:pPr>
              <w:spacing w:after="0" w:line="240" w:lineRule="auto"/>
              <w:jc w:val="center"/>
              <w:rPr>
                <w:sz w:val="18"/>
                <w:szCs w:val="18"/>
              </w:rPr>
            </w:pPr>
            <w:r>
              <w:rPr>
                <w:sz w:val="18"/>
                <w:szCs w:val="18"/>
              </w:rPr>
              <w:t>Infrastructure</w:t>
            </w:r>
          </w:p>
        </w:tc>
        <w:tc>
          <w:tcPr>
            <w:tcW w:w="1080" w:type="dxa"/>
            <w:tcBorders>
              <w:top w:val="nil"/>
              <w:left w:val="nil"/>
              <w:bottom w:val="nil"/>
              <w:right w:val="nil"/>
            </w:tcBorders>
            <w:tcMar>
              <w:top w:w="20" w:type="dxa"/>
              <w:left w:w="20" w:type="dxa"/>
              <w:bottom w:w="100" w:type="dxa"/>
              <w:right w:w="20" w:type="dxa"/>
            </w:tcMar>
            <w:vAlign w:val="bottom"/>
          </w:tcPr>
          <w:p w14:paraId="64584E7D" w14:textId="77777777" w:rsidR="00340A38" w:rsidRDefault="00000000" w:rsidP="00ED6383">
            <w:pPr>
              <w:spacing w:after="0" w:line="240" w:lineRule="auto"/>
              <w:jc w:val="center"/>
              <w:rPr>
                <w:sz w:val="18"/>
                <w:szCs w:val="18"/>
              </w:rPr>
            </w:pPr>
            <w:r>
              <w:rPr>
                <w:sz w:val="18"/>
                <w:szCs w:val="18"/>
              </w:rPr>
              <w:t>96</w:t>
            </w:r>
          </w:p>
        </w:tc>
        <w:tc>
          <w:tcPr>
            <w:tcW w:w="1080" w:type="dxa"/>
            <w:tcBorders>
              <w:top w:val="nil"/>
              <w:left w:val="nil"/>
              <w:bottom w:val="nil"/>
              <w:right w:val="nil"/>
            </w:tcBorders>
            <w:tcMar>
              <w:top w:w="20" w:type="dxa"/>
              <w:left w:w="20" w:type="dxa"/>
              <w:bottom w:w="100" w:type="dxa"/>
              <w:right w:w="20" w:type="dxa"/>
            </w:tcMar>
            <w:vAlign w:val="bottom"/>
          </w:tcPr>
          <w:p w14:paraId="2AC810CA" w14:textId="77777777" w:rsidR="00340A38" w:rsidRDefault="00000000" w:rsidP="00ED6383">
            <w:pPr>
              <w:spacing w:after="0" w:line="240" w:lineRule="auto"/>
              <w:jc w:val="center"/>
              <w:rPr>
                <w:sz w:val="18"/>
                <w:szCs w:val="18"/>
              </w:rPr>
            </w:pPr>
            <w:r>
              <w:rPr>
                <w:sz w:val="18"/>
                <w:szCs w:val="18"/>
              </w:rPr>
              <w:t>0.55921201</w:t>
            </w:r>
          </w:p>
        </w:tc>
        <w:tc>
          <w:tcPr>
            <w:tcW w:w="1080" w:type="dxa"/>
            <w:tcBorders>
              <w:top w:val="nil"/>
              <w:left w:val="nil"/>
              <w:bottom w:val="nil"/>
              <w:right w:val="nil"/>
            </w:tcBorders>
            <w:tcMar>
              <w:top w:w="20" w:type="dxa"/>
              <w:left w:w="20" w:type="dxa"/>
              <w:bottom w:w="100" w:type="dxa"/>
              <w:right w:w="20" w:type="dxa"/>
            </w:tcMar>
            <w:vAlign w:val="bottom"/>
          </w:tcPr>
          <w:p w14:paraId="5838E721" w14:textId="77777777" w:rsidR="00340A38" w:rsidRDefault="00000000" w:rsidP="00ED6383">
            <w:pPr>
              <w:spacing w:after="0" w:line="240" w:lineRule="auto"/>
              <w:jc w:val="center"/>
              <w:rPr>
                <w:sz w:val="18"/>
                <w:szCs w:val="18"/>
              </w:rPr>
            </w:pPr>
            <w:r>
              <w:rPr>
                <w:sz w:val="18"/>
                <w:szCs w:val="18"/>
              </w:rPr>
              <w:t>0.737982273</w:t>
            </w:r>
          </w:p>
        </w:tc>
        <w:tc>
          <w:tcPr>
            <w:tcW w:w="1080" w:type="dxa"/>
            <w:tcBorders>
              <w:top w:val="nil"/>
              <w:left w:val="nil"/>
              <w:bottom w:val="nil"/>
              <w:right w:val="nil"/>
            </w:tcBorders>
            <w:tcMar>
              <w:top w:w="20" w:type="dxa"/>
              <w:left w:w="20" w:type="dxa"/>
              <w:bottom w:w="100" w:type="dxa"/>
              <w:right w:w="20" w:type="dxa"/>
            </w:tcMar>
            <w:vAlign w:val="bottom"/>
          </w:tcPr>
          <w:p w14:paraId="1A07BD59" w14:textId="77777777" w:rsidR="00340A38" w:rsidRDefault="00000000" w:rsidP="00ED6383">
            <w:pPr>
              <w:spacing w:after="0" w:line="240" w:lineRule="auto"/>
              <w:jc w:val="center"/>
              <w:rPr>
                <w:sz w:val="18"/>
                <w:szCs w:val="18"/>
              </w:rPr>
            </w:pPr>
            <w:r>
              <w:rPr>
                <w:sz w:val="18"/>
                <w:szCs w:val="18"/>
              </w:rPr>
              <w:t>-0.194698</w:t>
            </w:r>
          </w:p>
        </w:tc>
        <w:tc>
          <w:tcPr>
            <w:tcW w:w="1080" w:type="dxa"/>
            <w:tcBorders>
              <w:top w:val="nil"/>
              <w:left w:val="nil"/>
              <w:bottom w:val="nil"/>
              <w:right w:val="nil"/>
            </w:tcBorders>
            <w:tcMar>
              <w:top w:w="20" w:type="dxa"/>
              <w:left w:w="20" w:type="dxa"/>
              <w:bottom w:w="100" w:type="dxa"/>
              <w:right w:w="20" w:type="dxa"/>
            </w:tcMar>
            <w:vAlign w:val="bottom"/>
          </w:tcPr>
          <w:p w14:paraId="35F7C970" w14:textId="77777777" w:rsidR="00340A38" w:rsidRDefault="00000000" w:rsidP="00ED6383">
            <w:pPr>
              <w:spacing w:after="0" w:line="240" w:lineRule="auto"/>
              <w:jc w:val="center"/>
              <w:rPr>
                <w:sz w:val="18"/>
                <w:szCs w:val="18"/>
              </w:rPr>
            </w:pPr>
            <w:r>
              <w:rPr>
                <w:sz w:val="18"/>
                <w:szCs w:val="18"/>
              </w:rPr>
              <w:t>0.4678735</w:t>
            </w:r>
          </w:p>
        </w:tc>
        <w:tc>
          <w:tcPr>
            <w:tcW w:w="1080" w:type="dxa"/>
            <w:tcBorders>
              <w:top w:val="nil"/>
              <w:left w:val="nil"/>
              <w:bottom w:val="nil"/>
              <w:right w:val="nil"/>
            </w:tcBorders>
            <w:tcMar>
              <w:top w:w="20" w:type="dxa"/>
              <w:left w:w="20" w:type="dxa"/>
              <w:bottom w:w="100" w:type="dxa"/>
              <w:right w:w="20" w:type="dxa"/>
            </w:tcMar>
            <w:vAlign w:val="bottom"/>
          </w:tcPr>
          <w:p w14:paraId="7DF799D0" w14:textId="77777777" w:rsidR="00340A38" w:rsidRDefault="00000000" w:rsidP="00ED6383">
            <w:pPr>
              <w:spacing w:after="0" w:line="240" w:lineRule="auto"/>
              <w:jc w:val="center"/>
              <w:rPr>
                <w:sz w:val="18"/>
                <w:szCs w:val="18"/>
              </w:rPr>
            </w:pPr>
            <w:r>
              <w:rPr>
                <w:sz w:val="18"/>
                <w:szCs w:val="18"/>
              </w:rPr>
              <w:t>7.034338</w:t>
            </w:r>
          </w:p>
        </w:tc>
        <w:tc>
          <w:tcPr>
            <w:tcW w:w="1065" w:type="dxa"/>
            <w:tcBorders>
              <w:top w:val="nil"/>
              <w:left w:val="nil"/>
              <w:bottom w:val="nil"/>
              <w:right w:val="nil"/>
            </w:tcBorders>
            <w:tcMar>
              <w:top w:w="20" w:type="dxa"/>
              <w:left w:w="20" w:type="dxa"/>
              <w:bottom w:w="100" w:type="dxa"/>
              <w:right w:w="20" w:type="dxa"/>
            </w:tcMar>
            <w:vAlign w:val="bottom"/>
          </w:tcPr>
          <w:p w14:paraId="1ED4AF62" w14:textId="77777777" w:rsidR="00340A38" w:rsidRDefault="00000000" w:rsidP="00ED6383">
            <w:pPr>
              <w:spacing w:after="0" w:line="240" w:lineRule="auto"/>
              <w:jc w:val="center"/>
              <w:rPr>
                <w:sz w:val="18"/>
                <w:szCs w:val="18"/>
              </w:rPr>
            </w:pPr>
            <w:r>
              <w:rPr>
                <w:sz w:val="18"/>
                <w:szCs w:val="18"/>
              </w:rPr>
              <w:t>7.57583229</w:t>
            </w:r>
          </w:p>
        </w:tc>
        <w:tc>
          <w:tcPr>
            <w:tcW w:w="1065" w:type="dxa"/>
            <w:tcBorders>
              <w:top w:val="nil"/>
              <w:left w:val="nil"/>
              <w:bottom w:val="nil"/>
              <w:right w:val="nil"/>
            </w:tcBorders>
            <w:tcMar>
              <w:top w:w="20" w:type="dxa"/>
              <w:left w:w="20" w:type="dxa"/>
              <w:bottom w:w="100" w:type="dxa"/>
              <w:right w:w="20" w:type="dxa"/>
            </w:tcMar>
            <w:vAlign w:val="bottom"/>
          </w:tcPr>
          <w:p w14:paraId="60590EF4" w14:textId="77777777" w:rsidR="00340A38" w:rsidRDefault="00000000" w:rsidP="00ED6383">
            <w:pPr>
              <w:spacing w:after="0" w:line="240" w:lineRule="auto"/>
              <w:jc w:val="center"/>
              <w:rPr>
                <w:sz w:val="18"/>
                <w:szCs w:val="18"/>
              </w:rPr>
            </w:pPr>
            <w:r>
              <w:rPr>
                <w:sz w:val="18"/>
                <w:szCs w:val="18"/>
              </w:rPr>
              <w:t>64.56675553</w:t>
            </w:r>
          </w:p>
        </w:tc>
      </w:tr>
      <w:tr w:rsidR="00340A38" w14:paraId="78791592" w14:textId="77777777" w:rsidTr="00ED6383">
        <w:trPr>
          <w:trHeight w:val="430"/>
        </w:trPr>
        <w:tc>
          <w:tcPr>
            <w:tcW w:w="1350" w:type="dxa"/>
            <w:tcBorders>
              <w:top w:val="nil"/>
              <w:left w:val="nil"/>
              <w:bottom w:val="nil"/>
              <w:right w:val="nil"/>
            </w:tcBorders>
            <w:tcMar>
              <w:top w:w="20" w:type="dxa"/>
              <w:left w:w="20" w:type="dxa"/>
              <w:right w:w="20" w:type="dxa"/>
            </w:tcMar>
            <w:vAlign w:val="bottom"/>
          </w:tcPr>
          <w:p w14:paraId="2997DA47" w14:textId="77777777" w:rsidR="00340A38" w:rsidRDefault="00000000" w:rsidP="00ED6383">
            <w:pPr>
              <w:spacing w:after="0" w:line="240" w:lineRule="auto"/>
              <w:jc w:val="center"/>
              <w:rPr>
                <w:sz w:val="18"/>
                <w:szCs w:val="18"/>
              </w:rPr>
            </w:pPr>
            <w:r>
              <w:rPr>
                <w:sz w:val="18"/>
                <w:szCs w:val="18"/>
              </w:rPr>
              <w:t>Social Service</w:t>
            </w:r>
          </w:p>
        </w:tc>
        <w:tc>
          <w:tcPr>
            <w:tcW w:w="1080" w:type="dxa"/>
            <w:tcBorders>
              <w:top w:val="nil"/>
              <w:left w:val="nil"/>
              <w:bottom w:val="nil"/>
              <w:right w:val="nil"/>
            </w:tcBorders>
            <w:tcMar>
              <w:top w:w="20" w:type="dxa"/>
              <w:left w:w="20" w:type="dxa"/>
              <w:bottom w:w="100" w:type="dxa"/>
              <w:right w:w="20" w:type="dxa"/>
            </w:tcMar>
            <w:vAlign w:val="bottom"/>
          </w:tcPr>
          <w:p w14:paraId="419DAD4F" w14:textId="77777777" w:rsidR="00340A38" w:rsidRDefault="00000000" w:rsidP="00ED6383">
            <w:pPr>
              <w:spacing w:after="0" w:line="240" w:lineRule="auto"/>
              <w:jc w:val="center"/>
              <w:rPr>
                <w:sz w:val="18"/>
                <w:szCs w:val="18"/>
              </w:rPr>
            </w:pPr>
            <w:r>
              <w:rPr>
                <w:sz w:val="18"/>
                <w:szCs w:val="18"/>
              </w:rPr>
              <w:t>36</w:t>
            </w:r>
          </w:p>
        </w:tc>
        <w:tc>
          <w:tcPr>
            <w:tcW w:w="1080" w:type="dxa"/>
            <w:tcBorders>
              <w:top w:val="nil"/>
              <w:left w:val="nil"/>
              <w:bottom w:val="nil"/>
              <w:right w:val="nil"/>
            </w:tcBorders>
            <w:tcMar>
              <w:top w:w="20" w:type="dxa"/>
              <w:left w:w="20" w:type="dxa"/>
              <w:bottom w:w="100" w:type="dxa"/>
              <w:right w:w="20" w:type="dxa"/>
            </w:tcMar>
            <w:vAlign w:val="bottom"/>
          </w:tcPr>
          <w:p w14:paraId="590E8F88" w14:textId="77777777" w:rsidR="00340A38" w:rsidRDefault="00000000" w:rsidP="00ED6383">
            <w:pPr>
              <w:spacing w:after="0" w:line="240" w:lineRule="auto"/>
              <w:jc w:val="center"/>
              <w:rPr>
                <w:sz w:val="18"/>
                <w:szCs w:val="18"/>
              </w:rPr>
            </w:pPr>
            <w:r>
              <w:rPr>
                <w:sz w:val="18"/>
                <w:szCs w:val="18"/>
              </w:rPr>
              <w:t>0.416382306</w:t>
            </w:r>
          </w:p>
        </w:tc>
        <w:tc>
          <w:tcPr>
            <w:tcW w:w="1080" w:type="dxa"/>
            <w:tcBorders>
              <w:top w:val="nil"/>
              <w:left w:val="nil"/>
              <w:bottom w:val="nil"/>
              <w:right w:val="nil"/>
            </w:tcBorders>
            <w:tcMar>
              <w:top w:w="20" w:type="dxa"/>
              <w:left w:w="20" w:type="dxa"/>
              <w:bottom w:w="100" w:type="dxa"/>
              <w:right w:w="20" w:type="dxa"/>
            </w:tcMar>
            <w:vAlign w:val="bottom"/>
          </w:tcPr>
          <w:p w14:paraId="1EA53A76" w14:textId="77777777" w:rsidR="00340A38" w:rsidRDefault="00000000" w:rsidP="00ED6383">
            <w:pPr>
              <w:spacing w:after="0" w:line="240" w:lineRule="auto"/>
              <w:jc w:val="center"/>
              <w:rPr>
                <w:sz w:val="18"/>
                <w:szCs w:val="18"/>
              </w:rPr>
            </w:pPr>
            <w:r>
              <w:rPr>
                <w:sz w:val="18"/>
                <w:szCs w:val="18"/>
              </w:rPr>
              <w:t>0.151495584</w:t>
            </w:r>
          </w:p>
        </w:tc>
        <w:tc>
          <w:tcPr>
            <w:tcW w:w="1080" w:type="dxa"/>
            <w:tcBorders>
              <w:top w:val="nil"/>
              <w:left w:val="nil"/>
              <w:bottom w:val="nil"/>
              <w:right w:val="nil"/>
            </w:tcBorders>
            <w:tcMar>
              <w:top w:w="20" w:type="dxa"/>
              <w:left w:w="20" w:type="dxa"/>
              <w:bottom w:w="100" w:type="dxa"/>
              <w:right w:w="20" w:type="dxa"/>
            </w:tcMar>
            <w:vAlign w:val="bottom"/>
          </w:tcPr>
          <w:p w14:paraId="43C0837B" w14:textId="77777777" w:rsidR="00340A38" w:rsidRDefault="00000000" w:rsidP="00ED6383">
            <w:pPr>
              <w:spacing w:after="0" w:line="240" w:lineRule="auto"/>
              <w:jc w:val="center"/>
              <w:rPr>
                <w:sz w:val="18"/>
                <w:szCs w:val="18"/>
              </w:rPr>
            </w:pPr>
            <w:r>
              <w:rPr>
                <w:sz w:val="18"/>
                <w:szCs w:val="18"/>
              </w:rPr>
              <w:t>0.177638</w:t>
            </w:r>
          </w:p>
        </w:tc>
        <w:tc>
          <w:tcPr>
            <w:tcW w:w="1080" w:type="dxa"/>
            <w:tcBorders>
              <w:top w:val="nil"/>
              <w:left w:val="nil"/>
              <w:bottom w:val="nil"/>
              <w:right w:val="nil"/>
            </w:tcBorders>
            <w:tcMar>
              <w:top w:w="20" w:type="dxa"/>
              <w:left w:w="20" w:type="dxa"/>
              <w:bottom w:w="100" w:type="dxa"/>
              <w:right w:w="20" w:type="dxa"/>
            </w:tcMar>
            <w:vAlign w:val="bottom"/>
          </w:tcPr>
          <w:p w14:paraId="4B80CB84" w14:textId="77777777" w:rsidR="00340A38" w:rsidRDefault="00000000" w:rsidP="00ED6383">
            <w:pPr>
              <w:spacing w:after="0" w:line="240" w:lineRule="auto"/>
              <w:jc w:val="center"/>
              <w:rPr>
                <w:sz w:val="18"/>
                <w:szCs w:val="18"/>
              </w:rPr>
            </w:pPr>
            <w:r>
              <w:rPr>
                <w:sz w:val="18"/>
                <w:szCs w:val="18"/>
              </w:rPr>
              <w:t>0.405619</w:t>
            </w:r>
          </w:p>
        </w:tc>
        <w:tc>
          <w:tcPr>
            <w:tcW w:w="1080" w:type="dxa"/>
            <w:tcBorders>
              <w:top w:val="nil"/>
              <w:left w:val="nil"/>
              <w:bottom w:val="nil"/>
              <w:right w:val="nil"/>
            </w:tcBorders>
            <w:tcMar>
              <w:top w:w="20" w:type="dxa"/>
              <w:left w:w="20" w:type="dxa"/>
              <w:bottom w:w="100" w:type="dxa"/>
              <w:right w:w="20" w:type="dxa"/>
            </w:tcMar>
            <w:vAlign w:val="bottom"/>
          </w:tcPr>
          <w:p w14:paraId="270C6BE2" w14:textId="77777777" w:rsidR="00340A38" w:rsidRDefault="00000000" w:rsidP="00ED6383">
            <w:pPr>
              <w:spacing w:after="0" w:line="240" w:lineRule="auto"/>
              <w:jc w:val="center"/>
              <w:rPr>
                <w:sz w:val="18"/>
                <w:szCs w:val="18"/>
              </w:rPr>
            </w:pPr>
            <w:r>
              <w:rPr>
                <w:sz w:val="18"/>
                <w:szCs w:val="18"/>
              </w:rPr>
              <w:t>0.679528</w:t>
            </w:r>
          </w:p>
        </w:tc>
        <w:tc>
          <w:tcPr>
            <w:tcW w:w="1065" w:type="dxa"/>
            <w:tcBorders>
              <w:top w:val="nil"/>
              <w:left w:val="nil"/>
              <w:bottom w:val="nil"/>
              <w:right w:val="nil"/>
            </w:tcBorders>
            <w:tcMar>
              <w:top w:w="20" w:type="dxa"/>
              <w:left w:w="20" w:type="dxa"/>
              <w:bottom w:w="100" w:type="dxa"/>
              <w:right w:w="20" w:type="dxa"/>
            </w:tcMar>
            <w:vAlign w:val="bottom"/>
          </w:tcPr>
          <w:p w14:paraId="22938A48" w14:textId="77777777" w:rsidR="00340A38" w:rsidRDefault="00000000" w:rsidP="00ED6383">
            <w:pPr>
              <w:spacing w:after="0" w:line="240" w:lineRule="auto"/>
              <w:jc w:val="center"/>
              <w:rPr>
                <w:sz w:val="18"/>
                <w:szCs w:val="18"/>
              </w:rPr>
            </w:pPr>
            <w:r>
              <w:rPr>
                <w:sz w:val="18"/>
                <w:szCs w:val="18"/>
              </w:rPr>
              <w:t>0.055811888</w:t>
            </w:r>
          </w:p>
        </w:tc>
        <w:tc>
          <w:tcPr>
            <w:tcW w:w="1065" w:type="dxa"/>
            <w:tcBorders>
              <w:top w:val="nil"/>
              <w:left w:val="nil"/>
              <w:bottom w:val="nil"/>
              <w:right w:val="nil"/>
            </w:tcBorders>
            <w:tcMar>
              <w:top w:w="20" w:type="dxa"/>
              <w:left w:w="20" w:type="dxa"/>
              <w:bottom w:w="100" w:type="dxa"/>
              <w:right w:w="20" w:type="dxa"/>
            </w:tcMar>
            <w:vAlign w:val="bottom"/>
          </w:tcPr>
          <w:p w14:paraId="112CA315" w14:textId="77777777" w:rsidR="00340A38" w:rsidRDefault="00000000" w:rsidP="00ED6383">
            <w:pPr>
              <w:spacing w:after="0" w:line="240" w:lineRule="auto"/>
              <w:jc w:val="center"/>
              <w:rPr>
                <w:sz w:val="18"/>
                <w:szCs w:val="18"/>
              </w:rPr>
            </w:pPr>
            <w:r>
              <w:rPr>
                <w:sz w:val="18"/>
                <w:szCs w:val="18"/>
              </w:rPr>
              <w:t>-1.031344631</w:t>
            </w:r>
          </w:p>
        </w:tc>
      </w:tr>
      <w:tr w:rsidR="00340A38" w14:paraId="539DCE28" w14:textId="77777777" w:rsidTr="00ED6383">
        <w:trPr>
          <w:trHeight w:val="430"/>
        </w:trPr>
        <w:tc>
          <w:tcPr>
            <w:tcW w:w="1350" w:type="dxa"/>
            <w:tcBorders>
              <w:top w:val="nil"/>
              <w:left w:val="nil"/>
              <w:bottom w:val="nil"/>
              <w:right w:val="nil"/>
            </w:tcBorders>
            <w:tcMar>
              <w:top w:w="20" w:type="dxa"/>
              <w:left w:w="20" w:type="dxa"/>
              <w:right w:w="20" w:type="dxa"/>
            </w:tcMar>
            <w:vAlign w:val="bottom"/>
          </w:tcPr>
          <w:p w14:paraId="583D840A" w14:textId="77777777" w:rsidR="00340A38" w:rsidRDefault="00000000" w:rsidP="00ED6383">
            <w:pPr>
              <w:spacing w:after="0" w:line="240" w:lineRule="auto"/>
              <w:jc w:val="center"/>
              <w:rPr>
                <w:sz w:val="18"/>
                <w:szCs w:val="18"/>
              </w:rPr>
            </w:pPr>
            <w:r>
              <w:rPr>
                <w:sz w:val="18"/>
                <w:szCs w:val="18"/>
              </w:rPr>
              <w:t>Entertainment</w:t>
            </w:r>
          </w:p>
        </w:tc>
        <w:tc>
          <w:tcPr>
            <w:tcW w:w="1080" w:type="dxa"/>
            <w:tcBorders>
              <w:top w:val="nil"/>
              <w:left w:val="nil"/>
              <w:bottom w:val="nil"/>
              <w:right w:val="nil"/>
            </w:tcBorders>
            <w:tcMar>
              <w:top w:w="20" w:type="dxa"/>
              <w:left w:w="20" w:type="dxa"/>
              <w:bottom w:w="100" w:type="dxa"/>
              <w:right w:w="20" w:type="dxa"/>
            </w:tcMar>
            <w:vAlign w:val="bottom"/>
          </w:tcPr>
          <w:p w14:paraId="4AFF532B" w14:textId="77777777" w:rsidR="00340A38" w:rsidRDefault="00000000" w:rsidP="00ED6383">
            <w:pPr>
              <w:spacing w:after="0" w:line="240" w:lineRule="auto"/>
              <w:jc w:val="center"/>
              <w:rPr>
                <w:sz w:val="18"/>
                <w:szCs w:val="18"/>
              </w:rPr>
            </w:pPr>
            <w:r>
              <w:rPr>
                <w:sz w:val="18"/>
                <w:szCs w:val="18"/>
              </w:rPr>
              <w:t>108</w:t>
            </w:r>
          </w:p>
        </w:tc>
        <w:tc>
          <w:tcPr>
            <w:tcW w:w="1080" w:type="dxa"/>
            <w:tcBorders>
              <w:top w:val="nil"/>
              <w:left w:val="nil"/>
              <w:bottom w:val="nil"/>
              <w:right w:val="nil"/>
            </w:tcBorders>
            <w:tcMar>
              <w:top w:w="20" w:type="dxa"/>
              <w:left w:w="20" w:type="dxa"/>
              <w:bottom w:w="100" w:type="dxa"/>
              <w:right w:w="20" w:type="dxa"/>
            </w:tcMar>
            <w:vAlign w:val="bottom"/>
          </w:tcPr>
          <w:p w14:paraId="402662CD" w14:textId="77777777" w:rsidR="00340A38" w:rsidRDefault="00000000" w:rsidP="00ED6383">
            <w:pPr>
              <w:spacing w:after="0" w:line="240" w:lineRule="auto"/>
              <w:jc w:val="center"/>
              <w:rPr>
                <w:sz w:val="18"/>
                <w:szCs w:val="18"/>
              </w:rPr>
            </w:pPr>
            <w:r>
              <w:rPr>
                <w:sz w:val="18"/>
                <w:szCs w:val="18"/>
              </w:rPr>
              <w:t>0.344315333</w:t>
            </w:r>
          </w:p>
        </w:tc>
        <w:tc>
          <w:tcPr>
            <w:tcW w:w="1080" w:type="dxa"/>
            <w:tcBorders>
              <w:top w:val="nil"/>
              <w:left w:val="nil"/>
              <w:bottom w:val="nil"/>
              <w:right w:val="nil"/>
            </w:tcBorders>
            <w:tcMar>
              <w:top w:w="20" w:type="dxa"/>
              <w:left w:w="20" w:type="dxa"/>
              <w:bottom w:w="100" w:type="dxa"/>
              <w:right w:w="20" w:type="dxa"/>
            </w:tcMar>
            <w:vAlign w:val="bottom"/>
          </w:tcPr>
          <w:p w14:paraId="1BA92592" w14:textId="77777777" w:rsidR="00340A38" w:rsidRDefault="00000000" w:rsidP="00ED6383">
            <w:pPr>
              <w:spacing w:after="0" w:line="240" w:lineRule="auto"/>
              <w:jc w:val="center"/>
              <w:rPr>
                <w:sz w:val="18"/>
                <w:szCs w:val="18"/>
              </w:rPr>
            </w:pPr>
            <w:r>
              <w:rPr>
                <w:sz w:val="18"/>
                <w:szCs w:val="18"/>
              </w:rPr>
              <w:t>0.150521036</w:t>
            </w:r>
          </w:p>
        </w:tc>
        <w:tc>
          <w:tcPr>
            <w:tcW w:w="1080" w:type="dxa"/>
            <w:tcBorders>
              <w:top w:val="nil"/>
              <w:left w:val="nil"/>
              <w:bottom w:val="nil"/>
              <w:right w:val="nil"/>
            </w:tcBorders>
            <w:tcMar>
              <w:top w:w="20" w:type="dxa"/>
              <w:left w:w="20" w:type="dxa"/>
              <w:bottom w:w="100" w:type="dxa"/>
              <w:right w:w="20" w:type="dxa"/>
            </w:tcMar>
            <w:vAlign w:val="bottom"/>
          </w:tcPr>
          <w:p w14:paraId="43131660" w14:textId="77777777" w:rsidR="00340A38" w:rsidRDefault="00000000" w:rsidP="00ED6383">
            <w:pPr>
              <w:spacing w:after="0" w:line="240" w:lineRule="auto"/>
              <w:jc w:val="center"/>
              <w:rPr>
                <w:sz w:val="18"/>
                <w:szCs w:val="18"/>
              </w:rPr>
            </w:pPr>
            <w:r>
              <w:rPr>
                <w:sz w:val="18"/>
                <w:szCs w:val="18"/>
              </w:rPr>
              <w:t>0.021841</w:t>
            </w:r>
          </w:p>
        </w:tc>
        <w:tc>
          <w:tcPr>
            <w:tcW w:w="1080" w:type="dxa"/>
            <w:tcBorders>
              <w:top w:val="nil"/>
              <w:left w:val="nil"/>
              <w:bottom w:val="nil"/>
              <w:right w:val="nil"/>
            </w:tcBorders>
            <w:tcMar>
              <w:top w:w="20" w:type="dxa"/>
              <w:left w:w="20" w:type="dxa"/>
              <w:bottom w:w="100" w:type="dxa"/>
              <w:right w:w="20" w:type="dxa"/>
            </w:tcMar>
            <w:vAlign w:val="bottom"/>
          </w:tcPr>
          <w:p w14:paraId="4E4E2D87" w14:textId="77777777" w:rsidR="00340A38" w:rsidRDefault="00000000" w:rsidP="00ED6383">
            <w:pPr>
              <w:spacing w:after="0" w:line="240" w:lineRule="auto"/>
              <w:jc w:val="center"/>
              <w:rPr>
                <w:sz w:val="18"/>
                <w:szCs w:val="18"/>
              </w:rPr>
            </w:pPr>
            <w:r>
              <w:rPr>
                <w:sz w:val="18"/>
                <w:szCs w:val="18"/>
              </w:rPr>
              <w:t>0.340751</w:t>
            </w:r>
          </w:p>
        </w:tc>
        <w:tc>
          <w:tcPr>
            <w:tcW w:w="1080" w:type="dxa"/>
            <w:tcBorders>
              <w:top w:val="nil"/>
              <w:left w:val="nil"/>
              <w:bottom w:val="nil"/>
              <w:right w:val="nil"/>
            </w:tcBorders>
            <w:tcMar>
              <w:top w:w="20" w:type="dxa"/>
              <w:left w:w="20" w:type="dxa"/>
              <w:bottom w:w="100" w:type="dxa"/>
              <w:right w:w="20" w:type="dxa"/>
            </w:tcMar>
            <w:vAlign w:val="bottom"/>
          </w:tcPr>
          <w:p w14:paraId="283566EA" w14:textId="77777777" w:rsidR="00340A38" w:rsidRDefault="00000000" w:rsidP="00ED6383">
            <w:pPr>
              <w:spacing w:after="0" w:line="240" w:lineRule="auto"/>
              <w:jc w:val="center"/>
              <w:rPr>
                <w:sz w:val="18"/>
                <w:szCs w:val="18"/>
              </w:rPr>
            </w:pPr>
            <w:r>
              <w:rPr>
                <w:sz w:val="18"/>
                <w:szCs w:val="18"/>
              </w:rPr>
              <w:t>0.726068</w:t>
            </w:r>
          </w:p>
        </w:tc>
        <w:tc>
          <w:tcPr>
            <w:tcW w:w="1065" w:type="dxa"/>
            <w:tcBorders>
              <w:top w:val="nil"/>
              <w:left w:val="nil"/>
              <w:bottom w:val="nil"/>
              <w:right w:val="nil"/>
            </w:tcBorders>
            <w:tcMar>
              <w:top w:w="20" w:type="dxa"/>
              <w:left w:w="20" w:type="dxa"/>
              <w:bottom w:w="100" w:type="dxa"/>
              <w:right w:w="20" w:type="dxa"/>
            </w:tcMar>
            <w:vAlign w:val="bottom"/>
          </w:tcPr>
          <w:p w14:paraId="23B9F4CE" w14:textId="77777777" w:rsidR="00340A38" w:rsidRDefault="00000000" w:rsidP="00ED6383">
            <w:pPr>
              <w:spacing w:after="0" w:line="240" w:lineRule="auto"/>
              <w:jc w:val="center"/>
              <w:rPr>
                <w:sz w:val="18"/>
                <w:szCs w:val="18"/>
              </w:rPr>
            </w:pPr>
            <w:r>
              <w:rPr>
                <w:sz w:val="18"/>
                <w:szCs w:val="18"/>
              </w:rPr>
              <w:t>0.349238961</w:t>
            </w:r>
          </w:p>
        </w:tc>
        <w:tc>
          <w:tcPr>
            <w:tcW w:w="1065" w:type="dxa"/>
            <w:tcBorders>
              <w:top w:val="nil"/>
              <w:left w:val="nil"/>
              <w:bottom w:val="nil"/>
              <w:right w:val="nil"/>
            </w:tcBorders>
            <w:tcMar>
              <w:top w:w="20" w:type="dxa"/>
              <w:left w:w="20" w:type="dxa"/>
              <w:bottom w:w="100" w:type="dxa"/>
              <w:right w:w="20" w:type="dxa"/>
            </w:tcMar>
            <w:vAlign w:val="bottom"/>
          </w:tcPr>
          <w:p w14:paraId="2FF1357D" w14:textId="77777777" w:rsidR="00340A38" w:rsidRDefault="00000000" w:rsidP="00ED6383">
            <w:pPr>
              <w:spacing w:after="0" w:line="240" w:lineRule="auto"/>
              <w:jc w:val="center"/>
              <w:rPr>
                <w:sz w:val="18"/>
                <w:szCs w:val="18"/>
              </w:rPr>
            </w:pPr>
            <w:r>
              <w:rPr>
                <w:sz w:val="18"/>
                <w:szCs w:val="18"/>
              </w:rPr>
              <w:t>0.264706222</w:t>
            </w:r>
          </w:p>
        </w:tc>
      </w:tr>
      <w:tr w:rsidR="00340A38" w14:paraId="329A8383" w14:textId="77777777" w:rsidTr="00ED6383">
        <w:trPr>
          <w:trHeight w:val="430"/>
        </w:trPr>
        <w:tc>
          <w:tcPr>
            <w:tcW w:w="1350" w:type="dxa"/>
            <w:tcBorders>
              <w:top w:val="nil"/>
              <w:left w:val="nil"/>
              <w:bottom w:val="nil"/>
              <w:right w:val="nil"/>
            </w:tcBorders>
            <w:tcMar>
              <w:top w:w="20" w:type="dxa"/>
              <w:left w:w="20" w:type="dxa"/>
              <w:right w:w="20" w:type="dxa"/>
            </w:tcMar>
            <w:vAlign w:val="bottom"/>
          </w:tcPr>
          <w:p w14:paraId="67FAB4E3" w14:textId="77777777" w:rsidR="00340A38" w:rsidRDefault="00000000" w:rsidP="00ED6383">
            <w:pPr>
              <w:spacing w:after="0" w:line="240" w:lineRule="auto"/>
              <w:jc w:val="center"/>
              <w:rPr>
                <w:sz w:val="18"/>
                <w:szCs w:val="18"/>
              </w:rPr>
            </w:pPr>
            <w:r>
              <w:rPr>
                <w:sz w:val="18"/>
                <w:szCs w:val="18"/>
              </w:rPr>
              <w:t>Others</w:t>
            </w:r>
          </w:p>
        </w:tc>
        <w:tc>
          <w:tcPr>
            <w:tcW w:w="1080" w:type="dxa"/>
            <w:tcBorders>
              <w:top w:val="nil"/>
              <w:left w:val="nil"/>
              <w:bottom w:val="nil"/>
              <w:right w:val="nil"/>
            </w:tcBorders>
            <w:tcMar>
              <w:top w:w="20" w:type="dxa"/>
              <w:left w:w="20" w:type="dxa"/>
              <w:bottom w:w="100" w:type="dxa"/>
              <w:right w:w="20" w:type="dxa"/>
            </w:tcMar>
            <w:vAlign w:val="bottom"/>
          </w:tcPr>
          <w:p w14:paraId="17FA58EF" w14:textId="77777777" w:rsidR="00340A38" w:rsidRDefault="00000000" w:rsidP="00ED6383">
            <w:pPr>
              <w:spacing w:after="0" w:line="240" w:lineRule="auto"/>
              <w:jc w:val="center"/>
              <w:rPr>
                <w:sz w:val="18"/>
                <w:szCs w:val="18"/>
              </w:rPr>
            </w:pPr>
            <w:r>
              <w:rPr>
                <w:sz w:val="18"/>
                <w:szCs w:val="18"/>
              </w:rPr>
              <w:t>48</w:t>
            </w:r>
          </w:p>
        </w:tc>
        <w:tc>
          <w:tcPr>
            <w:tcW w:w="1080" w:type="dxa"/>
            <w:tcBorders>
              <w:top w:val="nil"/>
              <w:left w:val="nil"/>
              <w:bottom w:val="nil"/>
              <w:right w:val="nil"/>
            </w:tcBorders>
            <w:tcMar>
              <w:top w:w="20" w:type="dxa"/>
              <w:left w:w="20" w:type="dxa"/>
              <w:bottom w:w="100" w:type="dxa"/>
              <w:right w:w="20" w:type="dxa"/>
            </w:tcMar>
            <w:vAlign w:val="bottom"/>
          </w:tcPr>
          <w:p w14:paraId="7A3294F3" w14:textId="77777777" w:rsidR="00340A38" w:rsidRDefault="00000000" w:rsidP="00ED6383">
            <w:pPr>
              <w:spacing w:after="0" w:line="240" w:lineRule="auto"/>
              <w:jc w:val="center"/>
              <w:rPr>
                <w:sz w:val="18"/>
                <w:szCs w:val="18"/>
              </w:rPr>
            </w:pPr>
            <w:r>
              <w:rPr>
                <w:sz w:val="18"/>
                <w:szCs w:val="18"/>
              </w:rPr>
              <w:t>0.510566271</w:t>
            </w:r>
          </w:p>
        </w:tc>
        <w:tc>
          <w:tcPr>
            <w:tcW w:w="1080" w:type="dxa"/>
            <w:tcBorders>
              <w:top w:val="nil"/>
              <w:left w:val="nil"/>
              <w:bottom w:val="nil"/>
              <w:right w:val="nil"/>
            </w:tcBorders>
            <w:tcMar>
              <w:top w:w="20" w:type="dxa"/>
              <w:left w:w="20" w:type="dxa"/>
              <w:bottom w:w="100" w:type="dxa"/>
              <w:right w:w="20" w:type="dxa"/>
            </w:tcMar>
            <w:vAlign w:val="bottom"/>
          </w:tcPr>
          <w:p w14:paraId="01891D1A" w14:textId="77777777" w:rsidR="00340A38" w:rsidRDefault="00000000" w:rsidP="00ED6383">
            <w:pPr>
              <w:spacing w:after="0" w:line="240" w:lineRule="auto"/>
              <w:jc w:val="center"/>
              <w:rPr>
                <w:sz w:val="18"/>
                <w:szCs w:val="18"/>
              </w:rPr>
            </w:pPr>
            <w:r>
              <w:rPr>
                <w:sz w:val="18"/>
                <w:szCs w:val="18"/>
              </w:rPr>
              <w:t>0.144165381</w:t>
            </w:r>
          </w:p>
        </w:tc>
        <w:tc>
          <w:tcPr>
            <w:tcW w:w="1080" w:type="dxa"/>
            <w:tcBorders>
              <w:top w:val="nil"/>
              <w:left w:val="nil"/>
              <w:bottom w:val="nil"/>
              <w:right w:val="nil"/>
            </w:tcBorders>
            <w:tcMar>
              <w:top w:w="20" w:type="dxa"/>
              <w:left w:w="20" w:type="dxa"/>
              <w:bottom w:w="100" w:type="dxa"/>
              <w:right w:w="20" w:type="dxa"/>
            </w:tcMar>
            <w:vAlign w:val="bottom"/>
          </w:tcPr>
          <w:p w14:paraId="042E1470" w14:textId="77777777" w:rsidR="00340A38" w:rsidRDefault="00000000" w:rsidP="00ED6383">
            <w:pPr>
              <w:spacing w:after="0" w:line="240" w:lineRule="auto"/>
              <w:jc w:val="center"/>
              <w:rPr>
                <w:sz w:val="18"/>
                <w:szCs w:val="18"/>
              </w:rPr>
            </w:pPr>
            <w:r>
              <w:rPr>
                <w:sz w:val="18"/>
                <w:szCs w:val="18"/>
              </w:rPr>
              <w:t>0.100147</w:t>
            </w:r>
          </w:p>
        </w:tc>
        <w:tc>
          <w:tcPr>
            <w:tcW w:w="1080" w:type="dxa"/>
            <w:tcBorders>
              <w:top w:val="nil"/>
              <w:left w:val="nil"/>
              <w:bottom w:val="nil"/>
              <w:right w:val="nil"/>
            </w:tcBorders>
            <w:tcMar>
              <w:top w:w="20" w:type="dxa"/>
              <w:left w:w="20" w:type="dxa"/>
              <w:bottom w:w="100" w:type="dxa"/>
              <w:right w:w="20" w:type="dxa"/>
            </w:tcMar>
            <w:vAlign w:val="bottom"/>
          </w:tcPr>
          <w:p w14:paraId="76D2C3AF" w14:textId="77777777" w:rsidR="00340A38" w:rsidRDefault="00000000" w:rsidP="00ED6383">
            <w:pPr>
              <w:spacing w:after="0" w:line="240" w:lineRule="auto"/>
              <w:jc w:val="center"/>
              <w:rPr>
                <w:sz w:val="18"/>
                <w:szCs w:val="18"/>
              </w:rPr>
            </w:pPr>
            <w:r>
              <w:rPr>
                <w:sz w:val="18"/>
                <w:szCs w:val="18"/>
              </w:rPr>
              <w:t>0.492858</w:t>
            </w:r>
          </w:p>
        </w:tc>
        <w:tc>
          <w:tcPr>
            <w:tcW w:w="1080" w:type="dxa"/>
            <w:tcBorders>
              <w:top w:val="nil"/>
              <w:left w:val="nil"/>
              <w:bottom w:val="nil"/>
              <w:right w:val="nil"/>
            </w:tcBorders>
            <w:tcMar>
              <w:top w:w="20" w:type="dxa"/>
              <w:left w:w="20" w:type="dxa"/>
              <w:bottom w:w="100" w:type="dxa"/>
              <w:right w:w="20" w:type="dxa"/>
            </w:tcMar>
            <w:vAlign w:val="bottom"/>
          </w:tcPr>
          <w:p w14:paraId="0EAA025B" w14:textId="77777777" w:rsidR="00340A38" w:rsidRDefault="00000000" w:rsidP="00ED6383">
            <w:pPr>
              <w:spacing w:after="0" w:line="240" w:lineRule="auto"/>
              <w:jc w:val="center"/>
              <w:rPr>
                <w:sz w:val="18"/>
                <w:szCs w:val="18"/>
              </w:rPr>
            </w:pPr>
            <w:r>
              <w:rPr>
                <w:sz w:val="18"/>
                <w:szCs w:val="18"/>
              </w:rPr>
              <w:t>0.752266</w:t>
            </w:r>
          </w:p>
        </w:tc>
        <w:tc>
          <w:tcPr>
            <w:tcW w:w="1065" w:type="dxa"/>
            <w:tcBorders>
              <w:top w:val="nil"/>
              <w:left w:val="nil"/>
              <w:bottom w:val="nil"/>
              <w:right w:val="nil"/>
            </w:tcBorders>
            <w:tcMar>
              <w:top w:w="20" w:type="dxa"/>
              <w:left w:w="20" w:type="dxa"/>
              <w:bottom w:w="100" w:type="dxa"/>
              <w:right w:w="20" w:type="dxa"/>
            </w:tcMar>
            <w:vAlign w:val="bottom"/>
          </w:tcPr>
          <w:p w14:paraId="2B291CD3" w14:textId="77777777" w:rsidR="00340A38" w:rsidRDefault="00000000" w:rsidP="00ED6383">
            <w:pPr>
              <w:spacing w:after="0" w:line="240" w:lineRule="auto"/>
              <w:jc w:val="center"/>
              <w:rPr>
                <w:sz w:val="18"/>
                <w:szCs w:val="18"/>
              </w:rPr>
            </w:pPr>
            <w:r>
              <w:rPr>
                <w:sz w:val="18"/>
                <w:szCs w:val="18"/>
              </w:rPr>
              <w:t>-0.610655094</w:t>
            </w:r>
          </w:p>
        </w:tc>
        <w:tc>
          <w:tcPr>
            <w:tcW w:w="1065" w:type="dxa"/>
            <w:tcBorders>
              <w:top w:val="nil"/>
              <w:left w:val="nil"/>
              <w:bottom w:val="nil"/>
              <w:right w:val="nil"/>
            </w:tcBorders>
            <w:tcMar>
              <w:top w:w="20" w:type="dxa"/>
              <w:left w:w="20" w:type="dxa"/>
              <w:bottom w:w="100" w:type="dxa"/>
              <w:right w:w="20" w:type="dxa"/>
            </w:tcMar>
            <w:vAlign w:val="bottom"/>
          </w:tcPr>
          <w:p w14:paraId="6343943B" w14:textId="77777777" w:rsidR="00340A38" w:rsidRDefault="00000000" w:rsidP="00ED6383">
            <w:pPr>
              <w:spacing w:after="0" w:line="240" w:lineRule="auto"/>
              <w:jc w:val="center"/>
              <w:rPr>
                <w:sz w:val="18"/>
                <w:szCs w:val="18"/>
              </w:rPr>
            </w:pPr>
            <w:r>
              <w:rPr>
                <w:sz w:val="18"/>
                <w:szCs w:val="18"/>
              </w:rPr>
              <w:t>-0.023097716</w:t>
            </w:r>
          </w:p>
        </w:tc>
      </w:tr>
    </w:tbl>
    <w:p w14:paraId="6CB3F787" w14:textId="77777777" w:rsidR="00340A38" w:rsidRDefault="00000000">
      <w:pPr>
        <w:spacing w:after="0"/>
        <w:rPr>
          <w:b/>
          <w:sz w:val="18"/>
          <w:szCs w:val="18"/>
        </w:rPr>
      </w:pPr>
      <w:r>
        <w:rPr>
          <w:b/>
          <w:sz w:val="18"/>
          <w:szCs w:val="18"/>
        </w:rPr>
        <w:lastRenderedPageBreak/>
        <w:t>Ownership Structure</w:t>
      </w:r>
    </w:p>
    <w:tbl>
      <w:tblPr>
        <w:tblStyle w:val="a4"/>
        <w:tblW w:w="9360" w:type="dxa"/>
        <w:tblBorders>
          <w:top w:val="nil"/>
          <w:left w:val="nil"/>
          <w:bottom w:val="nil"/>
          <w:right w:val="nil"/>
          <w:insideH w:val="nil"/>
          <w:insideV w:val="nil"/>
        </w:tblBorders>
        <w:tblLayout w:type="fixed"/>
        <w:tblLook w:val="0600" w:firstRow="0" w:lastRow="0" w:firstColumn="0" w:lastColumn="0" w:noHBand="1" w:noVBand="1"/>
      </w:tblPr>
      <w:tblGrid>
        <w:gridCol w:w="1040"/>
        <w:gridCol w:w="1040"/>
        <w:gridCol w:w="1040"/>
        <w:gridCol w:w="1040"/>
        <w:gridCol w:w="1040"/>
        <w:gridCol w:w="1040"/>
        <w:gridCol w:w="1040"/>
        <w:gridCol w:w="1040"/>
        <w:gridCol w:w="1040"/>
      </w:tblGrid>
      <w:tr w:rsidR="00340A38" w14:paraId="12A8588D" w14:textId="77777777">
        <w:trPr>
          <w:trHeight w:val="430"/>
        </w:trPr>
        <w:tc>
          <w:tcPr>
            <w:tcW w:w="1040" w:type="dxa"/>
            <w:tcBorders>
              <w:top w:val="nil"/>
              <w:left w:val="nil"/>
              <w:bottom w:val="single" w:sz="3" w:space="0" w:color="000000"/>
              <w:right w:val="nil"/>
            </w:tcBorders>
            <w:tcMar>
              <w:top w:w="20" w:type="dxa"/>
              <w:left w:w="20" w:type="dxa"/>
              <w:bottom w:w="100" w:type="dxa"/>
              <w:right w:w="20" w:type="dxa"/>
            </w:tcMar>
            <w:vAlign w:val="bottom"/>
          </w:tcPr>
          <w:p w14:paraId="4F2BE60F" w14:textId="77777777" w:rsidR="00340A38" w:rsidRDefault="00340A38">
            <w:pPr>
              <w:spacing w:after="0"/>
              <w:jc w:val="center"/>
              <w:rPr>
                <w:sz w:val="18"/>
                <w:szCs w:val="18"/>
              </w:rPr>
            </w:pPr>
          </w:p>
        </w:tc>
        <w:tc>
          <w:tcPr>
            <w:tcW w:w="1040" w:type="dxa"/>
            <w:tcBorders>
              <w:top w:val="nil"/>
              <w:left w:val="nil"/>
              <w:bottom w:val="single" w:sz="3" w:space="0" w:color="000000"/>
              <w:right w:val="nil"/>
            </w:tcBorders>
            <w:tcMar>
              <w:top w:w="20" w:type="dxa"/>
              <w:left w:w="20" w:type="dxa"/>
              <w:bottom w:w="100" w:type="dxa"/>
              <w:right w:w="20" w:type="dxa"/>
            </w:tcMar>
          </w:tcPr>
          <w:p w14:paraId="6225BC91" w14:textId="77777777" w:rsidR="00340A38" w:rsidRDefault="00000000">
            <w:pPr>
              <w:spacing w:after="0"/>
              <w:jc w:val="center"/>
              <w:rPr>
                <w:sz w:val="18"/>
                <w:szCs w:val="18"/>
              </w:rPr>
            </w:pPr>
            <w:proofErr w:type="spellStart"/>
            <w:r>
              <w:rPr>
                <w:b/>
                <w:sz w:val="18"/>
                <w:szCs w:val="18"/>
              </w:rPr>
              <w:t>Obs</w:t>
            </w:r>
            <w:proofErr w:type="spellEnd"/>
          </w:p>
        </w:tc>
        <w:tc>
          <w:tcPr>
            <w:tcW w:w="1040" w:type="dxa"/>
            <w:tcBorders>
              <w:top w:val="nil"/>
              <w:left w:val="nil"/>
              <w:bottom w:val="single" w:sz="3" w:space="0" w:color="000000"/>
              <w:right w:val="nil"/>
            </w:tcBorders>
            <w:tcMar>
              <w:top w:w="20" w:type="dxa"/>
              <w:left w:w="20" w:type="dxa"/>
              <w:bottom w:w="100" w:type="dxa"/>
              <w:right w:w="20" w:type="dxa"/>
            </w:tcMar>
          </w:tcPr>
          <w:p w14:paraId="5CBFEED3" w14:textId="77777777" w:rsidR="00340A38" w:rsidRDefault="00000000">
            <w:pPr>
              <w:spacing w:after="0"/>
              <w:jc w:val="center"/>
              <w:rPr>
                <w:sz w:val="18"/>
                <w:szCs w:val="18"/>
              </w:rPr>
            </w:pPr>
            <w:r>
              <w:rPr>
                <w:b/>
                <w:sz w:val="18"/>
                <w:szCs w:val="18"/>
              </w:rPr>
              <w:t>Mean</w:t>
            </w:r>
          </w:p>
        </w:tc>
        <w:tc>
          <w:tcPr>
            <w:tcW w:w="1040" w:type="dxa"/>
            <w:tcBorders>
              <w:top w:val="nil"/>
              <w:left w:val="nil"/>
              <w:bottom w:val="single" w:sz="3" w:space="0" w:color="000000"/>
              <w:right w:val="nil"/>
            </w:tcBorders>
            <w:tcMar>
              <w:top w:w="20" w:type="dxa"/>
              <w:left w:w="20" w:type="dxa"/>
              <w:bottom w:w="100" w:type="dxa"/>
              <w:right w:w="20" w:type="dxa"/>
            </w:tcMar>
          </w:tcPr>
          <w:p w14:paraId="4A3A00EC" w14:textId="77777777" w:rsidR="00340A38" w:rsidRDefault="00000000">
            <w:pPr>
              <w:spacing w:after="0"/>
              <w:jc w:val="center"/>
              <w:rPr>
                <w:sz w:val="18"/>
                <w:szCs w:val="18"/>
              </w:rPr>
            </w:pPr>
            <w:r>
              <w:rPr>
                <w:b/>
                <w:sz w:val="18"/>
                <w:szCs w:val="18"/>
              </w:rPr>
              <w:t>Std</w:t>
            </w:r>
          </w:p>
        </w:tc>
        <w:tc>
          <w:tcPr>
            <w:tcW w:w="1040" w:type="dxa"/>
            <w:tcBorders>
              <w:top w:val="nil"/>
              <w:left w:val="nil"/>
              <w:bottom w:val="single" w:sz="3" w:space="0" w:color="000000"/>
              <w:right w:val="nil"/>
            </w:tcBorders>
            <w:tcMar>
              <w:top w:w="20" w:type="dxa"/>
              <w:left w:w="20" w:type="dxa"/>
              <w:bottom w:w="100" w:type="dxa"/>
              <w:right w:w="20" w:type="dxa"/>
            </w:tcMar>
          </w:tcPr>
          <w:p w14:paraId="2E4249A2" w14:textId="77777777" w:rsidR="00340A38" w:rsidRDefault="00000000">
            <w:pPr>
              <w:spacing w:after="0"/>
              <w:jc w:val="center"/>
              <w:rPr>
                <w:sz w:val="18"/>
                <w:szCs w:val="18"/>
              </w:rPr>
            </w:pPr>
            <w:r>
              <w:rPr>
                <w:b/>
                <w:sz w:val="18"/>
                <w:szCs w:val="18"/>
              </w:rPr>
              <w:t>Min</w:t>
            </w:r>
          </w:p>
        </w:tc>
        <w:tc>
          <w:tcPr>
            <w:tcW w:w="1040" w:type="dxa"/>
            <w:tcBorders>
              <w:top w:val="nil"/>
              <w:left w:val="nil"/>
              <w:bottom w:val="single" w:sz="3" w:space="0" w:color="000000"/>
              <w:right w:val="nil"/>
            </w:tcBorders>
            <w:tcMar>
              <w:top w:w="20" w:type="dxa"/>
              <w:left w:w="20" w:type="dxa"/>
              <w:bottom w:w="100" w:type="dxa"/>
              <w:right w:w="20" w:type="dxa"/>
            </w:tcMar>
          </w:tcPr>
          <w:p w14:paraId="400F94E8" w14:textId="77777777" w:rsidR="00340A38" w:rsidRDefault="00000000">
            <w:pPr>
              <w:spacing w:after="0"/>
              <w:jc w:val="center"/>
              <w:rPr>
                <w:sz w:val="18"/>
                <w:szCs w:val="18"/>
              </w:rPr>
            </w:pPr>
            <w:r>
              <w:rPr>
                <w:b/>
                <w:sz w:val="18"/>
                <w:szCs w:val="18"/>
              </w:rPr>
              <w:t>Median</w:t>
            </w:r>
          </w:p>
        </w:tc>
        <w:tc>
          <w:tcPr>
            <w:tcW w:w="1040" w:type="dxa"/>
            <w:tcBorders>
              <w:top w:val="nil"/>
              <w:left w:val="nil"/>
              <w:bottom w:val="single" w:sz="3" w:space="0" w:color="000000"/>
              <w:right w:val="nil"/>
            </w:tcBorders>
            <w:tcMar>
              <w:top w:w="20" w:type="dxa"/>
              <w:left w:w="20" w:type="dxa"/>
              <w:bottom w:w="100" w:type="dxa"/>
              <w:right w:w="20" w:type="dxa"/>
            </w:tcMar>
          </w:tcPr>
          <w:p w14:paraId="30D065F1" w14:textId="77777777" w:rsidR="00340A38" w:rsidRDefault="00000000">
            <w:pPr>
              <w:spacing w:after="0"/>
              <w:jc w:val="center"/>
              <w:rPr>
                <w:sz w:val="18"/>
                <w:szCs w:val="18"/>
              </w:rPr>
            </w:pPr>
            <w:r>
              <w:rPr>
                <w:b/>
                <w:sz w:val="18"/>
                <w:szCs w:val="18"/>
              </w:rPr>
              <w:t>Max</w:t>
            </w:r>
          </w:p>
        </w:tc>
        <w:tc>
          <w:tcPr>
            <w:tcW w:w="1040" w:type="dxa"/>
            <w:tcBorders>
              <w:top w:val="nil"/>
              <w:left w:val="nil"/>
              <w:bottom w:val="single" w:sz="3" w:space="0" w:color="000000"/>
              <w:right w:val="nil"/>
            </w:tcBorders>
            <w:tcMar>
              <w:top w:w="20" w:type="dxa"/>
              <w:left w:w="20" w:type="dxa"/>
              <w:bottom w:w="100" w:type="dxa"/>
              <w:right w:w="20" w:type="dxa"/>
            </w:tcMar>
          </w:tcPr>
          <w:p w14:paraId="45E3AA57" w14:textId="77777777" w:rsidR="00340A38" w:rsidRDefault="00000000">
            <w:pPr>
              <w:spacing w:after="0"/>
              <w:jc w:val="center"/>
              <w:rPr>
                <w:sz w:val="18"/>
                <w:szCs w:val="18"/>
              </w:rPr>
            </w:pPr>
            <w:r>
              <w:rPr>
                <w:b/>
                <w:sz w:val="18"/>
                <w:szCs w:val="18"/>
              </w:rPr>
              <w:t>Skewness</w:t>
            </w:r>
          </w:p>
        </w:tc>
        <w:tc>
          <w:tcPr>
            <w:tcW w:w="1040" w:type="dxa"/>
            <w:tcBorders>
              <w:top w:val="nil"/>
              <w:left w:val="nil"/>
              <w:bottom w:val="single" w:sz="3" w:space="0" w:color="000000"/>
              <w:right w:val="nil"/>
            </w:tcBorders>
            <w:tcMar>
              <w:top w:w="20" w:type="dxa"/>
              <w:left w:w="20" w:type="dxa"/>
              <w:bottom w:w="100" w:type="dxa"/>
              <w:right w:w="20" w:type="dxa"/>
            </w:tcMar>
          </w:tcPr>
          <w:p w14:paraId="4A0A92A3" w14:textId="77777777" w:rsidR="00340A38" w:rsidRDefault="00000000">
            <w:pPr>
              <w:spacing w:after="0"/>
              <w:jc w:val="center"/>
              <w:rPr>
                <w:sz w:val="18"/>
                <w:szCs w:val="18"/>
              </w:rPr>
            </w:pPr>
            <w:r>
              <w:rPr>
                <w:b/>
                <w:sz w:val="18"/>
                <w:szCs w:val="18"/>
              </w:rPr>
              <w:t>Kurtosis</w:t>
            </w:r>
          </w:p>
        </w:tc>
      </w:tr>
      <w:tr w:rsidR="00340A38" w14:paraId="0361DB1A" w14:textId="77777777">
        <w:trPr>
          <w:trHeight w:val="430"/>
        </w:trPr>
        <w:tc>
          <w:tcPr>
            <w:tcW w:w="1040" w:type="dxa"/>
            <w:tcBorders>
              <w:top w:val="nil"/>
              <w:left w:val="nil"/>
              <w:bottom w:val="nil"/>
              <w:right w:val="nil"/>
            </w:tcBorders>
            <w:tcMar>
              <w:top w:w="20" w:type="dxa"/>
              <w:left w:w="20" w:type="dxa"/>
              <w:bottom w:w="100" w:type="dxa"/>
              <w:right w:w="20" w:type="dxa"/>
            </w:tcMar>
            <w:vAlign w:val="bottom"/>
          </w:tcPr>
          <w:p w14:paraId="5F59CAD3" w14:textId="77777777" w:rsidR="00340A38" w:rsidRDefault="00000000">
            <w:pPr>
              <w:spacing w:after="0"/>
              <w:jc w:val="center"/>
              <w:rPr>
                <w:sz w:val="18"/>
                <w:szCs w:val="18"/>
              </w:rPr>
            </w:pPr>
            <w:r>
              <w:rPr>
                <w:sz w:val="18"/>
                <w:szCs w:val="18"/>
              </w:rPr>
              <w:t>Non-SOEs</w:t>
            </w:r>
          </w:p>
        </w:tc>
        <w:tc>
          <w:tcPr>
            <w:tcW w:w="1040" w:type="dxa"/>
            <w:tcBorders>
              <w:top w:val="nil"/>
              <w:left w:val="nil"/>
              <w:bottom w:val="nil"/>
              <w:right w:val="nil"/>
            </w:tcBorders>
            <w:tcMar>
              <w:top w:w="20" w:type="dxa"/>
              <w:left w:w="20" w:type="dxa"/>
              <w:bottom w:w="100" w:type="dxa"/>
              <w:right w:w="20" w:type="dxa"/>
            </w:tcMar>
            <w:vAlign w:val="bottom"/>
          </w:tcPr>
          <w:p w14:paraId="12C6E3EF" w14:textId="77777777" w:rsidR="00340A38" w:rsidRDefault="00000000">
            <w:pPr>
              <w:spacing w:after="0"/>
              <w:jc w:val="center"/>
              <w:rPr>
                <w:sz w:val="18"/>
                <w:szCs w:val="18"/>
              </w:rPr>
            </w:pPr>
            <w:r>
              <w:rPr>
                <w:sz w:val="18"/>
                <w:szCs w:val="18"/>
              </w:rPr>
              <w:t>4500</w:t>
            </w:r>
          </w:p>
        </w:tc>
        <w:tc>
          <w:tcPr>
            <w:tcW w:w="1040" w:type="dxa"/>
            <w:tcBorders>
              <w:top w:val="nil"/>
              <w:left w:val="nil"/>
              <w:bottom w:val="nil"/>
              <w:right w:val="nil"/>
            </w:tcBorders>
            <w:tcMar>
              <w:top w:w="20" w:type="dxa"/>
              <w:left w:w="20" w:type="dxa"/>
              <w:bottom w:w="100" w:type="dxa"/>
              <w:right w:w="20" w:type="dxa"/>
            </w:tcMar>
            <w:vAlign w:val="bottom"/>
          </w:tcPr>
          <w:p w14:paraId="73231526" w14:textId="77777777" w:rsidR="00340A38" w:rsidRDefault="00000000">
            <w:pPr>
              <w:spacing w:after="0"/>
              <w:jc w:val="center"/>
              <w:rPr>
                <w:sz w:val="18"/>
                <w:szCs w:val="18"/>
              </w:rPr>
            </w:pPr>
            <w:r>
              <w:rPr>
                <w:sz w:val="18"/>
                <w:szCs w:val="18"/>
              </w:rPr>
              <w:t>0.408918879</w:t>
            </w:r>
          </w:p>
        </w:tc>
        <w:tc>
          <w:tcPr>
            <w:tcW w:w="1040" w:type="dxa"/>
            <w:tcBorders>
              <w:top w:val="nil"/>
              <w:left w:val="nil"/>
              <w:bottom w:val="nil"/>
              <w:right w:val="nil"/>
            </w:tcBorders>
            <w:tcMar>
              <w:top w:w="20" w:type="dxa"/>
              <w:left w:w="20" w:type="dxa"/>
              <w:bottom w:w="100" w:type="dxa"/>
              <w:right w:w="20" w:type="dxa"/>
            </w:tcMar>
            <w:vAlign w:val="bottom"/>
          </w:tcPr>
          <w:p w14:paraId="23EF3E07" w14:textId="77777777" w:rsidR="00340A38" w:rsidRDefault="00000000">
            <w:pPr>
              <w:spacing w:after="0"/>
              <w:jc w:val="center"/>
              <w:rPr>
                <w:sz w:val="18"/>
                <w:szCs w:val="18"/>
              </w:rPr>
            </w:pPr>
            <w:r>
              <w:rPr>
                <w:sz w:val="18"/>
                <w:szCs w:val="18"/>
              </w:rPr>
              <w:t>0.29715754</w:t>
            </w:r>
          </w:p>
        </w:tc>
        <w:tc>
          <w:tcPr>
            <w:tcW w:w="1040" w:type="dxa"/>
            <w:tcBorders>
              <w:top w:val="nil"/>
              <w:left w:val="nil"/>
              <w:bottom w:val="nil"/>
              <w:right w:val="nil"/>
            </w:tcBorders>
            <w:tcMar>
              <w:top w:w="20" w:type="dxa"/>
              <w:left w:w="20" w:type="dxa"/>
              <w:bottom w:w="100" w:type="dxa"/>
              <w:right w:w="20" w:type="dxa"/>
            </w:tcMar>
            <w:vAlign w:val="bottom"/>
          </w:tcPr>
          <w:p w14:paraId="2C2B69B0" w14:textId="77777777" w:rsidR="00340A38" w:rsidRDefault="00000000">
            <w:pPr>
              <w:spacing w:after="0"/>
              <w:jc w:val="center"/>
              <w:rPr>
                <w:sz w:val="18"/>
                <w:szCs w:val="18"/>
              </w:rPr>
            </w:pPr>
            <w:r>
              <w:rPr>
                <w:sz w:val="18"/>
                <w:szCs w:val="18"/>
              </w:rPr>
              <w:t>-0.194698</w:t>
            </w:r>
          </w:p>
        </w:tc>
        <w:tc>
          <w:tcPr>
            <w:tcW w:w="1040" w:type="dxa"/>
            <w:tcBorders>
              <w:top w:val="nil"/>
              <w:left w:val="nil"/>
              <w:bottom w:val="nil"/>
              <w:right w:val="nil"/>
            </w:tcBorders>
            <w:tcMar>
              <w:top w:w="20" w:type="dxa"/>
              <w:left w:w="20" w:type="dxa"/>
              <w:bottom w:w="100" w:type="dxa"/>
              <w:right w:w="20" w:type="dxa"/>
            </w:tcMar>
            <w:vAlign w:val="bottom"/>
          </w:tcPr>
          <w:p w14:paraId="188241EF" w14:textId="77777777" w:rsidR="00340A38" w:rsidRDefault="00000000">
            <w:pPr>
              <w:spacing w:after="0"/>
              <w:jc w:val="center"/>
              <w:rPr>
                <w:sz w:val="18"/>
                <w:szCs w:val="18"/>
              </w:rPr>
            </w:pPr>
            <w:r>
              <w:rPr>
                <w:sz w:val="18"/>
                <w:szCs w:val="18"/>
              </w:rPr>
              <w:t>0.3945925</w:t>
            </w:r>
          </w:p>
        </w:tc>
        <w:tc>
          <w:tcPr>
            <w:tcW w:w="1040" w:type="dxa"/>
            <w:tcBorders>
              <w:top w:val="nil"/>
              <w:left w:val="nil"/>
              <w:bottom w:val="nil"/>
              <w:right w:val="nil"/>
            </w:tcBorders>
            <w:tcMar>
              <w:top w:w="20" w:type="dxa"/>
              <w:left w:w="20" w:type="dxa"/>
              <w:bottom w:w="100" w:type="dxa"/>
              <w:right w:w="20" w:type="dxa"/>
            </w:tcMar>
            <w:vAlign w:val="bottom"/>
          </w:tcPr>
          <w:p w14:paraId="58281BC1" w14:textId="77777777" w:rsidR="00340A38" w:rsidRDefault="00000000">
            <w:pPr>
              <w:spacing w:after="0"/>
              <w:jc w:val="center"/>
              <w:rPr>
                <w:sz w:val="18"/>
                <w:szCs w:val="18"/>
              </w:rPr>
            </w:pPr>
            <w:r>
              <w:rPr>
                <w:sz w:val="18"/>
                <w:szCs w:val="18"/>
              </w:rPr>
              <w:t>8.256422</w:t>
            </w:r>
          </w:p>
        </w:tc>
        <w:tc>
          <w:tcPr>
            <w:tcW w:w="1040" w:type="dxa"/>
            <w:tcBorders>
              <w:top w:val="nil"/>
              <w:left w:val="nil"/>
              <w:bottom w:val="nil"/>
              <w:right w:val="nil"/>
            </w:tcBorders>
            <w:tcMar>
              <w:top w:w="20" w:type="dxa"/>
              <w:left w:w="20" w:type="dxa"/>
              <w:bottom w:w="100" w:type="dxa"/>
              <w:right w:w="20" w:type="dxa"/>
            </w:tcMar>
            <w:vAlign w:val="bottom"/>
          </w:tcPr>
          <w:p w14:paraId="15BDA238" w14:textId="77777777" w:rsidR="00340A38" w:rsidRDefault="00000000">
            <w:pPr>
              <w:spacing w:after="0"/>
              <w:jc w:val="center"/>
              <w:rPr>
                <w:sz w:val="18"/>
                <w:szCs w:val="18"/>
              </w:rPr>
            </w:pPr>
            <w:r>
              <w:rPr>
                <w:sz w:val="18"/>
                <w:szCs w:val="18"/>
              </w:rPr>
              <w:t>10.89959395</w:t>
            </w:r>
          </w:p>
        </w:tc>
        <w:tc>
          <w:tcPr>
            <w:tcW w:w="1040" w:type="dxa"/>
            <w:tcBorders>
              <w:top w:val="nil"/>
              <w:left w:val="nil"/>
              <w:bottom w:val="nil"/>
              <w:right w:val="nil"/>
            </w:tcBorders>
            <w:tcMar>
              <w:top w:w="20" w:type="dxa"/>
              <w:left w:w="20" w:type="dxa"/>
              <w:bottom w:w="100" w:type="dxa"/>
              <w:right w:w="20" w:type="dxa"/>
            </w:tcMar>
            <w:vAlign w:val="bottom"/>
          </w:tcPr>
          <w:p w14:paraId="2704EF6C" w14:textId="77777777" w:rsidR="00340A38" w:rsidRDefault="00000000">
            <w:pPr>
              <w:spacing w:after="0"/>
              <w:jc w:val="center"/>
              <w:rPr>
                <w:sz w:val="18"/>
                <w:szCs w:val="18"/>
              </w:rPr>
            </w:pPr>
            <w:r>
              <w:rPr>
                <w:sz w:val="18"/>
                <w:szCs w:val="18"/>
              </w:rPr>
              <w:t>233.1007789</w:t>
            </w:r>
          </w:p>
        </w:tc>
      </w:tr>
      <w:tr w:rsidR="00340A38" w14:paraId="6659128C" w14:textId="77777777">
        <w:trPr>
          <w:trHeight w:val="430"/>
        </w:trPr>
        <w:tc>
          <w:tcPr>
            <w:tcW w:w="1040" w:type="dxa"/>
            <w:tcBorders>
              <w:top w:val="nil"/>
              <w:left w:val="nil"/>
              <w:bottom w:val="nil"/>
              <w:right w:val="nil"/>
            </w:tcBorders>
            <w:tcMar>
              <w:top w:w="20" w:type="dxa"/>
              <w:left w:w="20" w:type="dxa"/>
              <w:bottom w:w="100" w:type="dxa"/>
              <w:right w:w="20" w:type="dxa"/>
            </w:tcMar>
            <w:vAlign w:val="bottom"/>
          </w:tcPr>
          <w:p w14:paraId="5C1F3841" w14:textId="77777777" w:rsidR="00340A38" w:rsidRDefault="00000000">
            <w:pPr>
              <w:spacing w:after="0"/>
              <w:jc w:val="center"/>
              <w:rPr>
                <w:sz w:val="18"/>
                <w:szCs w:val="18"/>
              </w:rPr>
            </w:pPr>
            <w:r>
              <w:rPr>
                <w:sz w:val="18"/>
                <w:szCs w:val="18"/>
              </w:rPr>
              <w:t>SOEs</w:t>
            </w:r>
          </w:p>
        </w:tc>
        <w:tc>
          <w:tcPr>
            <w:tcW w:w="1040" w:type="dxa"/>
            <w:tcBorders>
              <w:top w:val="nil"/>
              <w:left w:val="nil"/>
              <w:bottom w:val="nil"/>
              <w:right w:val="nil"/>
            </w:tcBorders>
            <w:tcMar>
              <w:top w:w="20" w:type="dxa"/>
              <w:left w:w="20" w:type="dxa"/>
              <w:bottom w:w="100" w:type="dxa"/>
              <w:right w:w="20" w:type="dxa"/>
            </w:tcMar>
            <w:vAlign w:val="bottom"/>
          </w:tcPr>
          <w:p w14:paraId="34BDFE37" w14:textId="77777777" w:rsidR="00340A38" w:rsidRDefault="00000000">
            <w:pPr>
              <w:spacing w:after="0"/>
              <w:jc w:val="center"/>
              <w:rPr>
                <w:sz w:val="18"/>
                <w:szCs w:val="18"/>
              </w:rPr>
            </w:pPr>
            <w:r>
              <w:rPr>
                <w:sz w:val="18"/>
                <w:szCs w:val="18"/>
              </w:rPr>
              <w:t>2916</w:t>
            </w:r>
          </w:p>
        </w:tc>
        <w:tc>
          <w:tcPr>
            <w:tcW w:w="1040" w:type="dxa"/>
            <w:tcBorders>
              <w:top w:val="nil"/>
              <w:left w:val="nil"/>
              <w:bottom w:val="nil"/>
              <w:right w:val="nil"/>
            </w:tcBorders>
            <w:tcMar>
              <w:top w:w="20" w:type="dxa"/>
              <w:left w:w="20" w:type="dxa"/>
              <w:bottom w:w="100" w:type="dxa"/>
              <w:right w:w="20" w:type="dxa"/>
            </w:tcMar>
            <w:vAlign w:val="bottom"/>
          </w:tcPr>
          <w:p w14:paraId="77CE4D55" w14:textId="77777777" w:rsidR="00340A38" w:rsidRDefault="00000000">
            <w:pPr>
              <w:spacing w:after="0"/>
              <w:jc w:val="center"/>
              <w:rPr>
                <w:sz w:val="18"/>
                <w:szCs w:val="18"/>
              </w:rPr>
            </w:pPr>
            <w:r>
              <w:rPr>
                <w:sz w:val="18"/>
                <w:szCs w:val="18"/>
              </w:rPr>
              <w:t>0.500729021</w:t>
            </w:r>
          </w:p>
        </w:tc>
        <w:tc>
          <w:tcPr>
            <w:tcW w:w="1040" w:type="dxa"/>
            <w:tcBorders>
              <w:top w:val="nil"/>
              <w:left w:val="nil"/>
              <w:bottom w:val="nil"/>
              <w:right w:val="nil"/>
            </w:tcBorders>
            <w:tcMar>
              <w:top w:w="20" w:type="dxa"/>
              <w:left w:w="20" w:type="dxa"/>
              <w:bottom w:w="100" w:type="dxa"/>
              <w:right w:w="20" w:type="dxa"/>
            </w:tcMar>
            <w:vAlign w:val="bottom"/>
          </w:tcPr>
          <w:p w14:paraId="4079AF6A" w14:textId="77777777" w:rsidR="00340A38" w:rsidRDefault="00000000">
            <w:pPr>
              <w:spacing w:after="0"/>
              <w:jc w:val="center"/>
              <w:rPr>
                <w:sz w:val="18"/>
                <w:szCs w:val="18"/>
              </w:rPr>
            </w:pPr>
            <w:r>
              <w:rPr>
                <w:sz w:val="18"/>
                <w:szCs w:val="18"/>
              </w:rPr>
              <w:t>0.20961921</w:t>
            </w:r>
          </w:p>
        </w:tc>
        <w:tc>
          <w:tcPr>
            <w:tcW w:w="1040" w:type="dxa"/>
            <w:tcBorders>
              <w:top w:val="nil"/>
              <w:left w:val="nil"/>
              <w:bottom w:val="nil"/>
              <w:right w:val="nil"/>
            </w:tcBorders>
            <w:tcMar>
              <w:top w:w="20" w:type="dxa"/>
              <w:left w:w="20" w:type="dxa"/>
              <w:bottom w:w="100" w:type="dxa"/>
              <w:right w:w="20" w:type="dxa"/>
            </w:tcMar>
            <w:vAlign w:val="bottom"/>
          </w:tcPr>
          <w:p w14:paraId="174B40D0" w14:textId="77777777" w:rsidR="00340A38" w:rsidRDefault="00000000">
            <w:pPr>
              <w:spacing w:after="0"/>
              <w:jc w:val="center"/>
              <w:rPr>
                <w:sz w:val="18"/>
                <w:szCs w:val="18"/>
              </w:rPr>
            </w:pPr>
            <w:r>
              <w:rPr>
                <w:sz w:val="18"/>
                <w:szCs w:val="18"/>
              </w:rPr>
              <w:t>0.022383</w:t>
            </w:r>
          </w:p>
        </w:tc>
        <w:tc>
          <w:tcPr>
            <w:tcW w:w="1040" w:type="dxa"/>
            <w:tcBorders>
              <w:top w:val="nil"/>
              <w:left w:val="nil"/>
              <w:bottom w:val="nil"/>
              <w:right w:val="nil"/>
            </w:tcBorders>
            <w:tcMar>
              <w:top w:w="20" w:type="dxa"/>
              <w:left w:w="20" w:type="dxa"/>
              <w:bottom w:w="100" w:type="dxa"/>
              <w:right w:w="20" w:type="dxa"/>
            </w:tcMar>
            <w:vAlign w:val="bottom"/>
          </w:tcPr>
          <w:p w14:paraId="3D023418" w14:textId="77777777" w:rsidR="00340A38" w:rsidRDefault="00000000">
            <w:pPr>
              <w:spacing w:after="0"/>
              <w:jc w:val="center"/>
              <w:rPr>
                <w:sz w:val="18"/>
                <w:szCs w:val="18"/>
              </w:rPr>
            </w:pPr>
            <w:r>
              <w:rPr>
                <w:sz w:val="18"/>
                <w:szCs w:val="18"/>
              </w:rPr>
              <w:t>0.507666</w:t>
            </w:r>
          </w:p>
        </w:tc>
        <w:tc>
          <w:tcPr>
            <w:tcW w:w="1040" w:type="dxa"/>
            <w:tcBorders>
              <w:top w:val="nil"/>
              <w:left w:val="nil"/>
              <w:bottom w:val="nil"/>
              <w:right w:val="nil"/>
            </w:tcBorders>
            <w:tcMar>
              <w:top w:w="20" w:type="dxa"/>
              <w:left w:w="20" w:type="dxa"/>
              <w:bottom w:w="100" w:type="dxa"/>
              <w:right w:w="20" w:type="dxa"/>
            </w:tcMar>
            <w:vAlign w:val="bottom"/>
          </w:tcPr>
          <w:p w14:paraId="18954FF8" w14:textId="77777777" w:rsidR="00340A38" w:rsidRDefault="00000000">
            <w:pPr>
              <w:spacing w:after="0"/>
              <w:jc w:val="center"/>
              <w:rPr>
                <w:sz w:val="18"/>
                <w:szCs w:val="18"/>
              </w:rPr>
            </w:pPr>
            <w:r>
              <w:rPr>
                <w:sz w:val="18"/>
                <w:szCs w:val="18"/>
              </w:rPr>
              <w:t>2.290134</w:t>
            </w:r>
          </w:p>
        </w:tc>
        <w:tc>
          <w:tcPr>
            <w:tcW w:w="1040" w:type="dxa"/>
            <w:tcBorders>
              <w:top w:val="nil"/>
              <w:left w:val="nil"/>
              <w:bottom w:val="nil"/>
              <w:right w:val="nil"/>
            </w:tcBorders>
            <w:tcMar>
              <w:top w:w="20" w:type="dxa"/>
              <w:left w:w="20" w:type="dxa"/>
              <w:bottom w:w="100" w:type="dxa"/>
              <w:right w:w="20" w:type="dxa"/>
            </w:tcMar>
            <w:vAlign w:val="bottom"/>
          </w:tcPr>
          <w:p w14:paraId="33298901" w14:textId="77777777" w:rsidR="00340A38" w:rsidRDefault="00000000">
            <w:pPr>
              <w:spacing w:after="0"/>
              <w:jc w:val="center"/>
              <w:rPr>
                <w:sz w:val="18"/>
                <w:szCs w:val="18"/>
              </w:rPr>
            </w:pPr>
            <w:r>
              <w:rPr>
                <w:sz w:val="18"/>
                <w:szCs w:val="18"/>
              </w:rPr>
              <w:t>0.265908456</w:t>
            </w:r>
          </w:p>
        </w:tc>
        <w:tc>
          <w:tcPr>
            <w:tcW w:w="1040" w:type="dxa"/>
            <w:tcBorders>
              <w:top w:val="nil"/>
              <w:left w:val="nil"/>
              <w:bottom w:val="nil"/>
              <w:right w:val="nil"/>
            </w:tcBorders>
            <w:tcMar>
              <w:top w:w="20" w:type="dxa"/>
              <w:left w:w="20" w:type="dxa"/>
              <w:bottom w:w="100" w:type="dxa"/>
              <w:right w:w="20" w:type="dxa"/>
            </w:tcMar>
            <w:vAlign w:val="bottom"/>
          </w:tcPr>
          <w:p w14:paraId="5B79AFC5" w14:textId="77777777" w:rsidR="00340A38" w:rsidRDefault="00000000">
            <w:pPr>
              <w:spacing w:after="0"/>
              <w:jc w:val="center"/>
              <w:rPr>
                <w:sz w:val="18"/>
                <w:szCs w:val="18"/>
              </w:rPr>
            </w:pPr>
            <w:r>
              <w:rPr>
                <w:sz w:val="18"/>
                <w:szCs w:val="18"/>
              </w:rPr>
              <w:t>1.894150756</w:t>
            </w:r>
          </w:p>
        </w:tc>
      </w:tr>
    </w:tbl>
    <w:p w14:paraId="022979FA" w14:textId="77777777" w:rsidR="00340A38" w:rsidRDefault="00000000">
      <w:pPr>
        <w:spacing w:after="0"/>
        <w:jc w:val="center"/>
        <w:rPr>
          <w:b/>
          <w:sz w:val="18"/>
          <w:szCs w:val="18"/>
        </w:rPr>
      </w:pPr>
      <w:r>
        <w:rPr>
          <w:b/>
          <w:noProof/>
          <w:sz w:val="18"/>
          <w:szCs w:val="18"/>
        </w:rPr>
        <w:drawing>
          <wp:inline distT="114300" distB="114300" distL="114300" distR="114300" wp14:anchorId="4C3ACF74" wp14:editId="073577C0">
            <wp:extent cx="4427123" cy="2180239"/>
            <wp:effectExtent l="0" t="0" r="0" b="0"/>
            <wp:docPr id="1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4427123" cy="2180239"/>
                    </a:xfrm>
                    <a:prstGeom prst="rect">
                      <a:avLst/>
                    </a:prstGeom>
                    <a:ln/>
                  </pic:spPr>
                </pic:pic>
              </a:graphicData>
            </a:graphic>
          </wp:inline>
        </w:drawing>
      </w:r>
    </w:p>
    <w:p w14:paraId="0C391BA1" w14:textId="77777777" w:rsidR="00340A38" w:rsidRDefault="00000000">
      <w:pPr>
        <w:spacing w:after="0"/>
        <w:jc w:val="center"/>
        <w:rPr>
          <w:b/>
          <w:sz w:val="18"/>
          <w:szCs w:val="18"/>
        </w:rPr>
      </w:pPr>
      <w:r>
        <w:rPr>
          <w:b/>
          <w:sz w:val="18"/>
          <w:szCs w:val="18"/>
        </w:rPr>
        <w:t>Figure 1. Leverage Ratio for Typical Industries</w:t>
      </w:r>
    </w:p>
    <w:p w14:paraId="05E59EA0" w14:textId="77777777" w:rsidR="00340A38" w:rsidRDefault="00000000">
      <w:pPr>
        <w:spacing w:after="0"/>
        <w:jc w:val="center"/>
        <w:rPr>
          <w:b/>
          <w:sz w:val="18"/>
          <w:szCs w:val="18"/>
        </w:rPr>
      </w:pPr>
      <w:r>
        <w:rPr>
          <w:b/>
          <w:noProof/>
          <w:sz w:val="18"/>
          <w:szCs w:val="18"/>
        </w:rPr>
        <w:drawing>
          <wp:inline distT="114300" distB="114300" distL="114300" distR="114300" wp14:anchorId="293FB5BA" wp14:editId="0C2B6429">
            <wp:extent cx="2995613" cy="1982551"/>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995613" cy="1982551"/>
                    </a:xfrm>
                    <a:prstGeom prst="rect">
                      <a:avLst/>
                    </a:prstGeom>
                    <a:ln/>
                  </pic:spPr>
                </pic:pic>
              </a:graphicData>
            </a:graphic>
          </wp:inline>
        </w:drawing>
      </w:r>
    </w:p>
    <w:p w14:paraId="55030DE5" w14:textId="77777777" w:rsidR="00340A38" w:rsidRDefault="00000000">
      <w:pPr>
        <w:spacing w:after="0"/>
        <w:jc w:val="center"/>
        <w:rPr>
          <w:sz w:val="18"/>
          <w:szCs w:val="18"/>
        </w:rPr>
      </w:pPr>
      <w:r>
        <w:rPr>
          <w:b/>
          <w:sz w:val="18"/>
          <w:szCs w:val="18"/>
        </w:rPr>
        <w:t xml:space="preserve">Figure 2. Leverage Ratio for SOE </w:t>
      </w:r>
      <w:proofErr w:type="spellStart"/>
      <w:r>
        <w:rPr>
          <w:b/>
          <w:sz w:val="18"/>
          <w:szCs w:val="18"/>
        </w:rPr>
        <w:t>v.s</w:t>
      </w:r>
      <w:proofErr w:type="spellEnd"/>
      <w:r>
        <w:rPr>
          <w:b/>
          <w:sz w:val="18"/>
          <w:szCs w:val="18"/>
        </w:rPr>
        <w:t xml:space="preserve">. </w:t>
      </w:r>
      <w:proofErr w:type="gramStart"/>
      <w:r>
        <w:rPr>
          <w:b/>
          <w:sz w:val="18"/>
          <w:szCs w:val="18"/>
        </w:rPr>
        <w:t>Non-SOEs</w:t>
      </w:r>
      <w:proofErr w:type="gramEnd"/>
    </w:p>
    <w:p w14:paraId="7138FA76" w14:textId="77777777" w:rsidR="00340A38" w:rsidRDefault="00340A38">
      <w:pPr>
        <w:rPr>
          <w:b/>
          <w:sz w:val="18"/>
          <w:szCs w:val="18"/>
        </w:rPr>
      </w:pPr>
    </w:p>
    <w:p w14:paraId="31ED65DF" w14:textId="77777777" w:rsidR="00340A38" w:rsidRDefault="00000000">
      <w:pPr>
        <w:spacing w:before="200" w:line="480" w:lineRule="auto"/>
        <w:jc w:val="both"/>
      </w:pPr>
      <w:r>
        <w:t xml:space="preserve">Based on the correlation matrix, we can see </w:t>
      </w:r>
      <w:proofErr w:type="gramStart"/>
      <w:r>
        <w:t>that factors</w:t>
      </w:r>
      <w:proofErr w:type="gramEnd"/>
      <w:r>
        <w:t xml:space="preserve"> indicating CEO power, including CCON, CTEN, CDUA, and CSWP, are negatively related to LEV (leverage ratio), suggesting that higher CEO power leads to a lower leverage ratio. As for the indicators for BOD and institutional investors, BDN, BIND, and INTOP1 are positively correlated with the leverage, which aligns with our hypothesis. However, factors including BSWP, INSTA, and IACT are negatively correlated. </w:t>
      </w:r>
      <w:r>
        <w:lastRenderedPageBreak/>
        <w:t xml:space="preserve">Since correlation analysis may overlook some important factors, further research is necessary for us to get a more convincing result. </w:t>
      </w:r>
    </w:p>
    <w:p w14:paraId="7B69F027" w14:textId="77777777" w:rsidR="00340A38" w:rsidRDefault="00000000">
      <w:pPr>
        <w:spacing w:before="200" w:line="480" w:lineRule="auto"/>
        <w:jc w:val="both"/>
      </w:pPr>
      <w:r>
        <w:t xml:space="preserve">Generally, the correlation among selected variables is not that high, indicating that the multicollinearity would not be the problem in our further regression </w:t>
      </w:r>
      <w:proofErr w:type="gramStart"/>
      <w:r>
        <w:t>analysis</w:t>
      </w:r>
      <w:proofErr w:type="gramEnd"/>
      <w:r>
        <w:t xml:space="preserve"> and they should work efficiently with one another for our future regression. Besides, we would also apply principal component analysis, thus reducing the multicollinearity between the factors for CEO and BOD. However, we would still pay attention to the potential issue and check for multicollinearity. </w:t>
      </w:r>
    </w:p>
    <w:p w14:paraId="2A2F07B3" w14:textId="77777777" w:rsidR="00340A38" w:rsidRDefault="00000000">
      <w:pPr>
        <w:spacing w:after="0"/>
        <w:rPr>
          <w:b/>
          <w:sz w:val="20"/>
          <w:szCs w:val="20"/>
        </w:rPr>
      </w:pPr>
      <w:r>
        <w:rPr>
          <w:b/>
          <w:sz w:val="20"/>
          <w:szCs w:val="20"/>
        </w:rPr>
        <w:t>Table 2</w:t>
      </w:r>
    </w:p>
    <w:p w14:paraId="69471758" w14:textId="77777777" w:rsidR="00340A38" w:rsidRDefault="00000000">
      <w:pPr>
        <w:spacing w:after="0"/>
        <w:rPr>
          <w:b/>
          <w:sz w:val="18"/>
          <w:szCs w:val="18"/>
        </w:rPr>
      </w:pPr>
      <w:r>
        <w:rPr>
          <w:b/>
          <w:sz w:val="18"/>
          <w:szCs w:val="18"/>
        </w:rPr>
        <w:t>Correlation Matrix</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705"/>
        <w:gridCol w:w="705"/>
        <w:gridCol w:w="705"/>
        <w:gridCol w:w="705"/>
        <w:gridCol w:w="705"/>
        <w:gridCol w:w="705"/>
        <w:gridCol w:w="675"/>
        <w:gridCol w:w="675"/>
        <w:gridCol w:w="705"/>
        <w:gridCol w:w="675"/>
        <w:gridCol w:w="705"/>
        <w:gridCol w:w="675"/>
        <w:gridCol w:w="705"/>
        <w:gridCol w:w="675"/>
      </w:tblGrid>
      <w:tr w:rsidR="00340A38" w14:paraId="232804B4" w14:textId="77777777" w:rsidTr="002030EC">
        <w:trPr>
          <w:trHeight w:val="366"/>
        </w:trPr>
        <w:tc>
          <w:tcPr>
            <w:tcW w:w="705" w:type="dxa"/>
            <w:tcBorders>
              <w:top w:val="single" w:sz="6" w:space="0" w:color="000000"/>
              <w:left w:val="nil"/>
              <w:bottom w:val="single" w:sz="6" w:space="0" w:color="000000"/>
              <w:right w:val="nil"/>
            </w:tcBorders>
            <w:tcMar>
              <w:top w:w="0" w:type="dxa"/>
              <w:left w:w="0" w:type="dxa"/>
              <w:bottom w:w="0" w:type="dxa"/>
              <w:right w:w="0" w:type="dxa"/>
            </w:tcMar>
            <w:vAlign w:val="center"/>
          </w:tcPr>
          <w:p w14:paraId="67578972" w14:textId="0C5924CE" w:rsidR="00340A38" w:rsidRDefault="00340A38" w:rsidP="002030EC">
            <w:pPr>
              <w:spacing w:after="0"/>
              <w:jc w:val="center"/>
              <w:rPr>
                <w:b/>
                <w:sz w:val="18"/>
                <w:szCs w:val="18"/>
              </w:rPr>
            </w:pPr>
          </w:p>
        </w:tc>
        <w:tc>
          <w:tcPr>
            <w:tcW w:w="705" w:type="dxa"/>
            <w:tcBorders>
              <w:top w:val="single" w:sz="6" w:space="0" w:color="000000"/>
              <w:left w:val="nil"/>
              <w:bottom w:val="single" w:sz="6" w:space="0" w:color="000000"/>
              <w:right w:val="nil"/>
            </w:tcBorders>
            <w:tcMar>
              <w:top w:w="0" w:type="dxa"/>
              <w:left w:w="0" w:type="dxa"/>
              <w:bottom w:w="0" w:type="dxa"/>
              <w:right w:w="0" w:type="dxa"/>
            </w:tcMar>
            <w:vAlign w:val="center"/>
          </w:tcPr>
          <w:p w14:paraId="2440CBA2" w14:textId="77777777" w:rsidR="00340A38" w:rsidRDefault="00000000" w:rsidP="002030EC">
            <w:pPr>
              <w:spacing w:after="0"/>
              <w:jc w:val="center"/>
              <w:rPr>
                <w:b/>
                <w:sz w:val="18"/>
                <w:szCs w:val="18"/>
              </w:rPr>
            </w:pPr>
            <w:r>
              <w:rPr>
                <w:b/>
                <w:sz w:val="18"/>
                <w:szCs w:val="18"/>
              </w:rPr>
              <w:t>CDEG</w:t>
            </w:r>
          </w:p>
        </w:tc>
        <w:tc>
          <w:tcPr>
            <w:tcW w:w="705" w:type="dxa"/>
            <w:tcBorders>
              <w:top w:val="single" w:sz="6" w:space="0" w:color="000000"/>
              <w:left w:val="nil"/>
              <w:bottom w:val="single" w:sz="6" w:space="0" w:color="000000"/>
              <w:right w:val="nil"/>
            </w:tcBorders>
            <w:tcMar>
              <w:top w:w="0" w:type="dxa"/>
              <w:left w:w="0" w:type="dxa"/>
              <w:bottom w:w="0" w:type="dxa"/>
              <w:right w:w="0" w:type="dxa"/>
            </w:tcMar>
            <w:vAlign w:val="center"/>
          </w:tcPr>
          <w:p w14:paraId="64D0CAEF" w14:textId="77777777" w:rsidR="00340A38" w:rsidRDefault="00000000" w:rsidP="002030EC">
            <w:pPr>
              <w:spacing w:after="0"/>
              <w:jc w:val="center"/>
              <w:rPr>
                <w:b/>
                <w:sz w:val="18"/>
                <w:szCs w:val="18"/>
              </w:rPr>
            </w:pPr>
            <w:r>
              <w:rPr>
                <w:b/>
                <w:sz w:val="18"/>
                <w:szCs w:val="18"/>
              </w:rPr>
              <w:t>CCON</w:t>
            </w:r>
          </w:p>
        </w:tc>
        <w:tc>
          <w:tcPr>
            <w:tcW w:w="705" w:type="dxa"/>
            <w:tcBorders>
              <w:top w:val="single" w:sz="6" w:space="0" w:color="000000"/>
              <w:left w:val="nil"/>
              <w:bottom w:val="single" w:sz="6" w:space="0" w:color="000000"/>
              <w:right w:val="nil"/>
            </w:tcBorders>
            <w:tcMar>
              <w:top w:w="0" w:type="dxa"/>
              <w:left w:w="0" w:type="dxa"/>
              <w:bottom w:w="0" w:type="dxa"/>
              <w:right w:w="0" w:type="dxa"/>
            </w:tcMar>
            <w:vAlign w:val="center"/>
          </w:tcPr>
          <w:p w14:paraId="39061ECC" w14:textId="77777777" w:rsidR="00340A38" w:rsidRDefault="00000000" w:rsidP="002030EC">
            <w:pPr>
              <w:spacing w:after="0"/>
              <w:jc w:val="center"/>
              <w:rPr>
                <w:b/>
                <w:sz w:val="18"/>
                <w:szCs w:val="18"/>
              </w:rPr>
            </w:pPr>
            <w:r>
              <w:rPr>
                <w:b/>
                <w:sz w:val="18"/>
                <w:szCs w:val="18"/>
              </w:rPr>
              <w:t>CTEN</w:t>
            </w:r>
          </w:p>
        </w:tc>
        <w:tc>
          <w:tcPr>
            <w:tcW w:w="705" w:type="dxa"/>
            <w:tcBorders>
              <w:top w:val="single" w:sz="6" w:space="0" w:color="000000"/>
              <w:left w:val="nil"/>
              <w:bottom w:val="single" w:sz="6" w:space="0" w:color="000000"/>
              <w:right w:val="nil"/>
            </w:tcBorders>
            <w:tcMar>
              <w:top w:w="0" w:type="dxa"/>
              <w:left w:w="0" w:type="dxa"/>
              <w:bottom w:w="0" w:type="dxa"/>
              <w:right w:w="0" w:type="dxa"/>
            </w:tcMar>
            <w:vAlign w:val="center"/>
          </w:tcPr>
          <w:p w14:paraId="3AD84822" w14:textId="77777777" w:rsidR="00340A38" w:rsidRDefault="00000000" w:rsidP="002030EC">
            <w:pPr>
              <w:spacing w:after="0"/>
              <w:jc w:val="center"/>
              <w:rPr>
                <w:b/>
                <w:sz w:val="18"/>
                <w:szCs w:val="18"/>
              </w:rPr>
            </w:pPr>
            <w:r>
              <w:rPr>
                <w:b/>
                <w:sz w:val="18"/>
                <w:szCs w:val="18"/>
              </w:rPr>
              <w:t>CDUA</w:t>
            </w:r>
          </w:p>
        </w:tc>
        <w:tc>
          <w:tcPr>
            <w:tcW w:w="705" w:type="dxa"/>
            <w:tcBorders>
              <w:top w:val="single" w:sz="6" w:space="0" w:color="000000"/>
              <w:left w:val="nil"/>
              <w:bottom w:val="single" w:sz="6" w:space="0" w:color="000000"/>
              <w:right w:val="nil"/>
            </w:tcBorders>
            <w:tcMar>
              <w:top w:w="0" w:type="dxa"/>
              <w:left w:w="0" w:type="dxa"/>
              <w:bottom w:w="0" w:type="dxa"/>
              <w:right w:w="0" w:type="dxa"/>
            </w:tcMar>
            <w:vAlign w:val="center"/>
          </w:tcPr>
          <w:p w14:paraId="165419E5" w14:textId="77777777" w:rsidR="00340A38" w:rsidRDefault="00000000" w:rsidP="002030EC">
            <w:pPr>
              <w:spacing w:after="0"/>
              <w:jc w:val="center"/>
              <w:rPr>
                <w:b/>
                <w:sz w:val="18"/>
                <w:szCs w:val="18"/>
              </w:rPr>
            </w:pPr>
            <w:r>
              <w:rPr>
                <w:b/>
                <w:sz w:val="18"/>
                <w:szCs w:val="18"/>
              </w:rPr>
              <w:t>CSWP</w:t>
            </w:r>
          </w:p>
        </w:tc>
        <w:tc>
          <w:tcPr>
            <w:tcW w:w="675" w:type="dxa"/>
            <w:tcBorders>
              <w:top w:val="single" w:sz="6" w:space="0" w:color="000000"/>
              <w:left w:val="nil"/>
              <w:bottom w:val="single" w:sz="6" w:space="0" w:color="000000"/>
              <w:right w:val="nil"/>
            </w:tcBorders>
            <w:tcMar>
              <w:top w:w="0" w:type="dxa"/>
              <w:left w:w="0" w:type="dxa"/>
              <w:bottom w:w="0" w:type="dxa"/>
              <w:right w:w="0" w:type="dxa"/>
            </w:tcMar>
            <w:vAlign w:val="center"/>
          </w:tcPr>
          <w:p w14:paraId="33721BFE" w14:textId="77777777" w:rsidR="00340A38" w:rsidRDefault="00000000" w:rsidP="002030EC">
            <w:pPr>
              <w:spacing w:after="0"/>
              <w:jc w:val="center"/>
              <w:rPr>
                <w:b/>
                <w:sz w:val="18"/>
                <w:szCs w:val="18"/>
              </w:rPr>
            </w:pPr>
            <w:r>
              <w:rPr>
                <w:b/>
                <w:sz w:val="18"/>
                <w:szCs w:val="18"/>
              </w:rPr>
              <w:t>BDN</w:t>
            </w:r>
          </w:p>
        </w:tc>
        <w:tc>
          <w:tcPr>
            <w:tcW w:w="675" w:type="dxa"/>
            <w:tcBorders>
              <w:top w:val="single" w:sz="6" w:space="0" w:color="000000"/>
              <w:left w:val="nil"/>
              <w:bottom w:val="single" w:sz="6" w:space="0" w:color="000000"/>
              <w:right w:val="nil"/>
            </w:tcBorders>
            <w:tcMar>
              <w:top w:w="0" w:type="dxa"/>
              <w:left w:w="0" w:type="dxa"/>
              <w:bottom w:w="0" w:type="dxa"/>
              <w:right w:w="0" w:type="dxa"/>
            </w:tcMar>
            <w:vAlign w:val="center"/>
          </w:tcPr>
          <w:p w14:paraId="3BA8A2C9" w14:textId="77777777" w:rsidR="00340A38" w:rsidRDefault="00000000" w:rsidP="002030EC">
            <w:pPr>
              <w:spacing w:after="0"/>
              <w:jc w:val="center"/>
              <w:rPr>
                <w:b/>
                <w:sz w:val="18"/>
                <w:szCs w:val="18"/>
              </w:rPr>
            </w:pPr>
            <w:r>
              <w:rPr>
                <w:b/>
                <w:sz w:val="18"/>
                <w:szCs w:val="18"/>
              </w:rPr>
              <w:t>BIND</w:t>
            </w:r>
          </w:p>
        </w:tc>
        <w:tc>
          <w:tcPr>
            <w:tcW w:w="705" w:type="dxa"/>
            <w:tcBorders>
              <w:top w:val="single" w:sz="6" w:space="0" w:color="000000"/>
              <w:left w:val="nil"/>
              <w:bottom w:val="single" w:sz="6" w:space="0" w:color="000000"/>
              <w:right w:val="nil"/>
            </w:tcBorders>
            <w:tcMar>
              <w:top w:w="0" w:type="dxa"/>
              <w:left w:w="0" w:type="dxa"/>
              <w:bottom w:w="0" w:type="dxa"/>
              <w:right w:w="0" w:type="dxa"/>
            </w:tcMar>
            <w:vAlign w:val="center"/>
          </w:tcPr>
          <w:p w14:paraId="4F79C5BF" w14:textId="77777777" w:rsidR="00340A38" w:rsidRDefault="00000000" w:rsidP="002030EC">
            <w:pPr>
              <w:spacing w:after="0"/>
              <w:jc w:val="center"/>
              <w:rPr>
                <w:b/>
                <w:sz w:val="18"/>
                <w:szCs w:val="18"/>
              </w:rPr>
            </w:pPr>
            <w:r>
              <w:rPr>
                <w:b/>
                <w:sz w:val="18"/>
                <w:szCs w:val="18"/>
              </w:rPr>
              <w:t>BSWP</w:t>
            </w:r>
          </w:p>
        </w:tc>
        <w:tc>
          <w:tcPr>
            <w:tcW w:w="675" w:type="dxa"/>
            <w:tcBorders>
              <w:top w:val="single" w:sz="6" w:space="0" w:color="000000"/>
              <w:left w:val="nil"/>
              <w:bottom w:val="single" w:sz="6" w:space="0" w:color="000000"/>
              <w:right w:val="nil"/>
            </w:tcBorders>
            <w:tcMar>
              <w:top w:w="0" w:type="dxa"/>
              <w:left w:w="0" w:type="dxa"/>
              <w:bottom w:w="0" w:type="dxa"/>
              <w:right w:w="0" w:type="dxa"/>
            </w:tcMar>
            <w:vAlign w:val="center"/>
          </w:tcPr>
          <w:p w14:paraId="0DA40A3B" w14:textId="77777777" w:rsidR="00340A38" w:rsidRDefault="00000000" w:rsidP="002030EC">
            <w:pPr>
              <w:spacing w:after="0"/>
              <w:jc w:val="center"/>
              <w:rPr>
                <w:b/>
                <w:sz w:val="18"/>
                <w:szCs w:val="18"/>
              </w:rPr>
            </w:pPr>
            <w:r>
              <w:rPr>
                <w:b/>
                <w:sz w:val="18"/>
                <w:szCs w:val="18"/>
              </w:rPr>
              <w:t>IACT</w:t>
            </w:r>
          </w:p>
        </w:tc>
        <w:tc>
          <w:tcPr>
            <w:tcW w:w="705" w:type="dxa"/>
            <w:tcBorders>
              <w:top w:val="single" w:sz="6" w:space="0" w:color="000000"/>
              <w:left w:val="nil"/>
              <w:bottom w:val="single" w:sz="6" w:space="0" w:color="000000"/>
              <w:right w:val="nil"/>
            </w:tcBorders>
            <w:tcMar>
              <w:top w:w="0" w:type="dxa"/>
              <w:left w:w="0" w:type="dxa"/>
              <w:bottom w:w="0" w:type="dxa"/>
              <w:right w:w="0" w:type="dxa"/>
            </w:tcMar>
            <w:vAlign w:val="center"/>
          </w:tcPr>
          <w:p w14:paraId="692924BD" w14:textId="77777777" w:rsidR="00340A38" w:rsidRDefault="00000000" w:rsidP="002030EC">
            <w:pPr>
              <w:spacing w:after="0"/>
              <w:jc w:val="center"/>
              <w:rPr>
                <w:b/>
                <w:sz w:val="18"/>
                <w:szCs w:val="18"/>
              </w:rPr>
            </w:pPr>
            <w:r>
              <w:rPr>
                <w:b/>
                <w:sz w:val="18"/>
                <w:szCs w:val="18"/>
              </w:rPr>
              <w:t>SIZE</w:t>
            </w:r>
          </w:p>
        </w:tc>
        <w:tc>
          <w:tcPr>
            <w:tcW w:w="675" w:type="dxa"/>
            <w:tcBorders>
              <w:top w:val="single" w:sz="6" w:space="0" w:color="000000"/>
              <w:left w:val="nil"/>
              <w:bottom w:val="single" w:sz="6" w:space="0" w:color="000000"/>
              <w:right w:val="nil"/>
            </w:tcBorders>
            <w:tcMar>
              <w:top w:w="0" w:type="dxa"/>
              <w:left w:w="0" w:type="dxa"/>
              <w:bottom w:w="0" w:type="dxa"/>
              <w:right w:w="0" w:type="dxa"/>
            </w:tcMar>
            <w:vAlign w:val="center"/>
          </w:tcPr>
          <w:p w14:paraId="6A736669" w14:textId="77777777" w:rsidR="00340A38" w:rsidRDefault="00000000" w:rsidP="002030EC">
            <w:pPr>
              <w:spacing w:after="0"/>
              <w:jc w:val="center"/>
              <w:rPr>
                <w:b/>
                <w:sz w:val="18"/>
                <w:szCs w:val="18"/>
              </w:rPr>
            </w:pPr>
            <w:r>
              <w:rPr>
                <w:b/>
                <w:sz w:val="18"/>
                <w:szCs w:val="18"/>
              </w:rPr>
              <w:t>ROA</w:t>
            </w:r>
          </w:p>
        </w:tc>
        <w:tc>
          <w:tcPr>
            <w:tcW w:w="705" w:type="dxa"/>
            <w:tcBorders>
              <w:top w:val="single" w:sz="6" w:space="0" w:color="000000"/>
              <w:left w:val="nil"/>
              <w:bottom w:val="single" w:sz="6" w:space="0" w:color="000000"/>
              <w:right w:val="nil"/>
            </w:tcBorders>
            <w:tcMar>
              <w:top w:w="0" w:type="dxa"/>
              <w:left w:w="0" w:type="dxa"/>
              <w:bottom w:w="0" w:type="dxa"/>
              <w:right w:w="0" w:type="dxa"/>
            </w:tcMar>
            <w:vAlign w:val="center"/>
          </w:tcPr>
          <w:p w14:paraId="682CBEBB" w14:textId="77777777" w:rsidR="00340A38" w:rsidRDefault="00000000" w:rsidP="002030EC">
            <w:pPr>
              <w:spacing w:after="0"/>
              <w:jc w:val="center"/>
              <w:rPr>
                <w:b/>
                <w:sz w:val="18"/>
                <w:szCs w:val="18"/>
              </w:rPr>
            </w:pPr>
            <w:r>
              <w:rPr>
                <w:b/>
                <w:sz w:val="18"/>
                <w:szCs w:val="18"/>
              </w:rPr>
              <w:t>TANG</w:t>
            </w:r>
          </w:p>
        </w:tc>
        <w:tc>
          <w:tcPr>
            <w:tcW w:w="675" w:type="dxa"/>
            <w:tcBorders>
              <w:top w:val="single" w:sz="6" w:space="0" w:color="000000"/>
              <w:left w:val="nil"/>
              <w:bottom w:val="single" w:sz="6" w:space="0" w:color="000000"/>
              <w:right w:val="nil"/>
            </w:tcBorders>
            <w:tcMar>
              <w:top w:w="0" w:type="dxa"/>
              <w:left w:w="0" w:type="dxa"/>
              <w:bottom w:w="0" w:type="dxa"/>
              <w:right w:w="0" w:type="dxa"/>
            </w:tcMar>
            <w:vAlign w:val="center"/>
          </w:tcPr>
          <w:p w14:paraId="179DFE0D" w14:textId="77777777" w:rsidR="00340A38" w:rsidRDefault="00000000" w:rsidP="002030EC">
            <w:pPr>
              <w:spacing w:after="0"/>
              <w:jc w:val="center"/>
              <w:rPr>
                <w:b/>
                <w:sz w:val="18"/>
                <w:szCs w:val="18"/>
              </w:rPr>
            </w:pPr>
            <w:r>
              <w:rPr>
                <w:b/>
                <w:sz w:val="18"/>
                <w:szCs w:val="18"/>
              </w:rPr>
              <w:t>LEV</w:t>
            </w:r>
          </w:p>
        </w:tc>
      </w:tr>
      <w:tr w:rsidR="00340A38" w14:paraId="42C58136" w14:textId="77777777" w:rsidTr="002030EC">
        <w:tc>
          <w:tcPr>
            <w:tcW w:w="705" w:type="dxa"/>
            <w:tcBorders>
              <w:top w:val="nil"/>
              <w:left w:val="nil"/>
              <w:bottom w:val="nil"/>
              <w:right w:val="nil"/>
            </w:tcBorders>
            <w:tcMar>
              <w:top w:w="0" w:type="dxa"/>
              <w:left w:w="0" w:type="dxa"/>
              <w:bottom w:w="0" w:type="dxa"/>
              <w:right w:w="0" w:type="dxa"/>
            </w:tcMar>
            <w:vAlign w:val="center"/>
          </w:tcPr>
          <w:p w14:paraId="514927E9" w14:textId="77777777" w:rsidR="00340A38" w:rsidRDefault="00000000" w:rsidP="002030EC">
            <w:pPr>
              <w:spacing w:after="0"/>
              <w:jc w:val="center"/>
              <w:rPr>
                <w:b/>
                <w:sz w:val="18"/>
                <w:szCs w:val="18"/>
              </w:rPr>
            </w:pPr>
            <w:r>
              <w:rPr>
                <w:b/>
                <w:sz w:val="18"/>
                <w:szCs w:val="18"/>
              </w:rPr>
              <w:t>CDEG</w:t>
            </w:r>
          </w:p>
        </w:tc>
        <w:tc>
          <w:tcPr>
            <w:tcW w:w="705" w:type="dxa"/>
            <w:tcBorders>
              <w:top w:val="nil"/>
              <w:left w:val="nil"/>
              <w:bottom w:val="nil"/>
              <w:right w:val="nil"/>
            </w:tcBorders>
            <w:tcMar>
              <w:top w:w="0" w:type="dxa"/>
              <w:left w:w="0" w:type="dxa"/>
              <w:bottom w:w="0" w:type="dxa"/>
              <w:right w:w="0" w:type="dxa"/>
            </w:tcMar>
            <w:vAlign w:val="center"/>
          </w:tcPr>
          <w:p w14:paraId="7E8CEA29" w14:textId="77777777" w:rsidR="00340A38" w:rsidRDefault="00000000" w:rsidP="002030EC">
            <w:pPr>
              <w:spacing w:after="0"/>
              <w:jc w:val="center"/>
              <w:rPr>
                <w:sz w:val="18"/>
                <w:szCs w:val="18"/>
              </w:rPr>
            </w:pPr>
            <w:r>
              <w:rPr>
                <w:sz w:val="18"/>
                <w:szCs w:val="18"/>
              </w:rPr>
              <w:t>1.000</w:t>
            </w:r>
          </w:p>
        </w:tc>
        <w:tc>
          <w:tcPr>
            <w:tcW w:w="705" w:type="dxa"/>
            <w:tcBorders>
              <w:top w:val="nil"/>
              <w:left w:val="nil"/>
              <w:bottom w:val="nil"/>
              <w:right w:val="nil"/>
            </w:tcBorders>
            <w:tcMar>
              <w:top w:w="0" w:type="dxa"/>
              <w:left w:w="0" w:type="dxa"/>
              <w:bottom w:w="0" w:type="dxa"/>
              <w:right w:w="0" w:type="dxa"/>
            </w:tcMar>
            <w:vAlign w:val="center"/>
          </w:tcPr>
          <w:p w14:paraId="7F0022E6" w14:textId="77777777" w:rsidR="00340A38" w:rsidRDefault="00340A38" w:rsidP="002030EC">
            <w:pPr>
              <w:spacing w:after="0"/>
              <w:jc w:val="center"/>
              <w:rPr>
                <w:sz w:val="18"/>
                <w:szCs w:val="18"/>
              </w:rPr>
            </w:pPr>
          </w:p>
        </w:tc>
        <w:tc>
          <w:tcPr>
            <w:tcW w:w="705" w:type="dxa"/>
            <w:tcBorders>
              <w:top w:val="nil"/>
              <w:left w:val="nil"/>
              <w:bottom w:val="nil"/>
              <w:right w:val="nil"/>
            </w:tcBorders>
            <w:tcMar>
              <w:top w:w="0" w:type="dxa"/>
              <w:left w:w="0" w:type="dxa"/>
              <w:bottom w:w="0" w:type="dxa"/>
              <w:right w:w="0" w:type="dxa"/>
            </w:tcMar>
            <w:vAlign w:val="center"/>
          </w:tcPr>
          <w:p w14:paraId="4347C312" w14:textId="77777777" w:rsidR="00340A38" w:rsidRDefault="00340A38" w:rsidP="002030EC">
            <w:pPr>
              <w:spacing w:after="0"/>
              <w:jc w:val="center"/>
              <w:rPr>
                <w:sz w:val="18"/>
                <w:szCs w:val="18"/>
              </w:rPr>
            </w:pPr>
          </w:p>
        </w:tc>
        <w:tc>
          <w:tcPr>
            <w:tcW w:w="705" w:type="dxa"/>
            <w:tcBorders>
              <w:top w:val="nil"/>
              <w:left w:val="nil"/>
              <w:bottom w:val="nil"/>
              <w:right w:val="nil"/>
            </w:tcBorders>
            <w:tcMar>
              <w:top w:w="0" w:type="dxa"/>
              <w:left w:w="0" w:type="dxa"/>
              <w:bottom w:w="0" w:type="dxa"/>
              <w:right w:w="0" w:type="dxa"/>
            </w:tcMar>
            <w:vAlign w:val="center"/>
          </w:tcPr>
          <w:p w14:paraId="33136A93" w14:textId="77777777" w:rsidR="00340A38" w:rsidRDefault="00340A38" w:rsidP="002030EC">
            <w:pPr>
              <w:spacing w:after="0"/>
              <w:jc w:val="center"/>
              <w:rPr>
                <w:sz w:val="18"/>
                <w:szCs w:val="18"/>
              </w:rPr>
            </w:pPr>
          </w:p>
        </w:tc>
        <w:tc>
          <w:tcPr>
            <w:tcW w:w="705" w:type="dxa"/>
            <w:tcBorders>
              <w:top w:val="nil"/>
              <w:left w:val="nil"/>
              <w:bottom w:val="nil"/>
              <w:right w:val="nil"/>
            </w:tcBorders>
            <w:tcMar>
              <w:top w:w="0" w:type="dxa"/>
              <w:left w:w="0" w:type="dxa"/>
              <w:bottom w:w="0" w:type="dxa"/>
              <w:right w:w="0" w:type="dxa"/>
            </w:tcMar>
            <w:vAlign w:val="center"/>
          </w:tcPr>
          <w:p w14:paraId="0AEC4580"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2532E68A"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2CC307F6" w14:textId="77777777" w:rsidR="00340A38" w:rsidRDefault="00340A38" w:rsidP="002030EC">
            <w:pPr>
              <w:spacing w:after="0"/>
              <w:jc w:val="center"/>
              <w:rPr>
                <w:sz w:val="18"/>
                <w:szCs w:val="18"/>
              </w:rPr>
            </w:pPr>
          </w:p>
        </w:tc>
        <w:tc>
          <w:tcPr>
            <w:tcW w:w="705" w:type="dxa"/>
            <w:tcBorders>
              <w:top w:val="nil"/>
              <w:left w:val="nil"/>
              <w:bottom w:val="nil"/>
              <w:right w:val="nil"/>
            </w:tcBorders>
            <w:tcMar>
              <w:top w:w="0" w:type="dxa"/>
              <w:left w:w="0" w:type="dxa"/>
              <w:bottom w:w="0" w:type="dxa"/>
              <w:right w:w="0" w:type="dxa"/>
            </w:tcMar>
            <w:vAlign w:val="center"/>
          </w:tcPr>
          <w:p w14:paraId="51153B50"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369148D3" w14:textId="77777777" w:rsidR="00340A38" w:rsidRDefault="00340A38" w:rsidP="002030EC">
            <w:pPr>
              <w:spacing w:after="0"/>
              <w:jc w:val="center"/>
              <w:rPr>
                <w:sz w:val="18"/>
                <w:szCs w:val="18"/>
              </w:rPr>
            </w:pPr>
          </w:p>
        </w:tc>
        <w:tc>
          <w:tcPr>
            <w:tcW w:w="705" w:type="dxa"/>
            <w:tcBorders>
              <w:top w:val="nil"/>
              <w:left w:val="nil"/>
              <w:bottom w:val="nil"/>
              <w:right w:val="nil"/>
            </w:tcBorders>
            <w:tcMar>
              <w:top w:w="0" w:type="dxa"/>
              <w:left w:w="0" w:type="dxa"/>
              <w:bottom w:w="0" w:type="dxa"/>
              <w:right w:w="0" w:type="dxa"/>
            </w:tcMar>
            <w:vAlign w:val="center"/>
          </w:tcPr>
          <w:p w14:paraId="7EA39B8B"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65931BFB" w14:textId="77777777" w:rsidR="00340A38" w:rsidRDefault="00340A38" w:rsidP="002030EC">
            <w:pPr>
              <w:spacing w:after="0"/>
              <w:jc w:val="center"/>
              <w:rPr>
                <w:sz w:val="18"/>
                <w:szCs w:val="18"/>
              </w:rPr>
            </w:pPr>
          </w:p>
        </w:tc>
        <w:tc>
          <w:tcPr>
            <w:tcW w:w="705" w:type="dxa"/>
            <w:tcBorders>
              <w:top w:val="nil"/>
              <w:left w:val="nil"/>
              <w:bottom w:val="nil"/>
              <w:right w:val="nil"/>
            </w:tcBorders>
            <w:tcMar>
              <w:top w:w="0" w:type="dxa"/>
              <w:left w:w="0" w:type="dxa"/>
              <w:bottom w:w="0" w:type="dxa"/>
              <w:right w:w="0" w:type="dxa"/>
            </w:tcMar>
            <w:vAlign w:val="center"/>
          </w:tcPr>
          <w:p w14:paraId="57A54905"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7AEF20AD" w14:textId="77777777" w:rsidR="00340A38" w:rsidRDefault="00340A38" w:rsidP="002030EC">
            <w:pPr>
              <w:spacing w:after="0"/>
              <w:jc w:val="center"/>
              <w:rPr>
                <w:sz w:val="18"/>
                <w:szCs w:val="18"/>
              </w:rPr>
            </w:pPr>
          </w:p>
        </w:tc>
      </w:tr>
      <w:tr w:rsidR="00340A38" w14:paraId="56353B97" w14:textId="77777777" w:rsidTr="002030EC">
        <w:tc>
          <w:tcPr>
            <w:tcW w:w="705" w:type="dxa"/>
            <w:tcBorders>
              <w:top w:val="nil"/>
              <w:left w:val="nil"/>
              <w:bottom w:val="nil"/>
              <w:right w:val="nil"/>
            </w:tcBorders>
            <w:tcMar>
              <w:top w:w="0" w:type="dxa"/>
              <w:left w:w="0" w:type="dxa"/>
              <w:bottom w:w="0" w:type="dxa"/>
              <w:right w:w="0" w:type="dxa"/>
            </w:tcMar>
            <w:vAlign w:val="center"/>
          </w:tcPr>
          <w:p w14:paraId="2DFAD1E8" w14:textId="77777777" w:rsidR="00340A38" w:rsidRDefault="00000000" w:rsidP="002030EC">
            <w:pPr>
              <w:spacing w:after="0"/>
              <w:jc w:val="center"/>
              <w:rPr>
                <w:b/>
                <w:sz w:val="18"/>
                <w:szCs w:val="18"/>
              </w:rPr>
            </w:pPr>
            <w:r>
              <w:rPr>
                <w:b/>
                <w:sz w:val="18"/>
                <w:szCs w:val="18"/>
              </w:rPr>
              <w:t>CCON</w:t>
            </w:r>
          </w:p>
        </w:tc>
        <w:tc>
          <w:tcPr>
            <w:tcW w:w="705" w:type="dxa"/>
            <w:tcBorders>
              <w:top w:val="nil"/>
              <w:left w:val="nil"/>
              <w:bottom w:val="nil"/>
              <w:right w:val="nil"/>
            </w:tcBorders>
            <w:tcMar>
              <w:top w:w="0" w:type="dxa"/>
              <w:left w:w="0" w:type="dxa"/>
              <w:bottom w:w="0" w:type="dxa"/>
              <w:right w:w="0" w:type="dxa"/>
            </w:tcMar>
            <w:vAlign w:val="center"/>
          </w:tcPr>
          <w:p w14:paraId="0A536A3B" w14:textId="77777777" w:rsidR="00340A38" w:rsidRDefault="00000000" w:rsidP="002030EC">
            <w:pPr>
              <w:spacing w:after="0"/>
              <w:jc w:val="center"/>
              <w:rPr>
                <w:sz w:val="18"/>
                <w:szCs w:val="18"/>
              </w:rPr>
            </w:pPr>
            <w:r>
              <w:rPr>
                <w:sz w:val="18"/>
                <w:szCs w:val="18"/>
              </w:rPr>
              <w:t>0.067</w:t>
            </w:r>
          </w:p>
        </w:tc>
        <w:tc>
          <w:tcPr>
            <w:tcW w:w="705" w:type="dxa"/>
            <w:tcBorders>
              <w:top w:val="nil"/>
              <w:left w:val="nil"/>
              <w:bottom w:val="nil"/>
              <w:right w:val="nil"/>
            </w:tcBorders>
            <w:tcMar>
              <w:top w:w="0" w:type="dxa"/>
              <w:left w:w="0" w:type="dxa"/>
              <w:bottom w:w="0" w:type="dxa"/>
              <w:right w:w="0" w:type="dxa"/>
            </w:tcMar>
            <w:vAlign w:val="center"/>
          </w:tcPr>
          <w:p w14:paraId="3D1F0EB5" w14:textId="77777777" w:rsidR="00340A38" w:rsidRDefault="00000000" w:rsidP="002030EC">
            <w:pPr>
              <w:spacing w:after="0"/>
              <w:jc w:val="center"/>
              <w:rPr>
                <w:sz w:val="18"/>
                <w:szCs w:val="18"/>
              </w:rPr>
            </w:pPr>
            <w:r>
              <w:rPr>
                <w:sz w:val="18"/>
                <w:szCs w:val="18"/>
              </w:rPr>
              <w:t>1.000</w:t>
            </w:r>
          </w:p>
        </w:tc>
        <w:tc>
          <w:tcPr>
            <w:tcW w:w="705" w:type="dxa"/>
            <w:tcBorders>
              <w:top w:val="nil"/>
              <w:left w:val="nil"/>
              <w:bottom w:val="nil"/>
              <w:right w:val="nil"/>
            </w:tcBorders>
            <w:tcMar>
              <w:top w:w="0" w:type="dxa"/>
              <w:left w:w="0" w:type="dxa"/>
              <w:bottom w:w="0" w:type="dxa"/>
              <w:right w:w="0" w:type="dxa"/>
            </w:tcMar>
            <w:vAlign w:val="center"/>
          </w:tcPr>
          <w:p w14:paraId="6B841536" w14:textId="77777777" w:rsidR="00340A38" w:rsidRDefault="00340A38" w:rsidP="002030EC">
            <w:pPr>
              <w:spacing w:after="0"/>
              <w:jc w:val="center"/>
              <w:rPr>
                <w:sz w:val="18"/>
                <w:szCs w:val="18"/>
              </w:rPr>
            </w:pPr>
          </w:p>
        </w:tc>
        <w:tc>
          <w:tcPr>
            <w:tcW w:w="705" w:type="dxa"/>
            <w:tcBorders>
              <w:top w:val="nil"/>
              <w:left w:val="nil"/>
              <w:bottom w:val="nil"/>
              <w:right w:val="nil"/>
            </w:tcBorders>
            <w:tcMar>
              <w:top w:w="0" w:type="dxa"/>
              <w:left w:w="0" w:type="dxa"/>
              <w:bottom w:w="0" w:type="dxa"/>
              <w:right w:w="0" w:type="dxa"/>
            </w:tcMar>
            <w:vAlign w:val="center"/>
          </w:tcPr>
          <w:p w14:paraId="452EA231" w14:textId="77777777" w:rsidR="00340A38" w:rsidRDefault="00340A38" w:rsidP="002030EC">
            <w:pPr>
              <w:spacing w:after="0"/>
              <w:jc w:val="center"/>
              <w:rPr>
                <w:sz w:val="18"/>
                <w:szCs w:val="18"/>
              </w:rPr>
            </w:pPr>
          </w:p>
        </w:tc>
        <w:tc>
          <w:tcPr>
            <w:tcW w:w="705" w:type="dxa"/>
            <w:tcBorders>
              <w:top w:val="nil"/>
              <w:left w:val="nil"/>
              <w:bottom w:val="nil"/>
              <w:right w:val="nil"/>
            </w:tcBorders>
            <w:tcMar>
              <w:top w:w="0" w:type="dxa"/>
              <w:left w:w="0" w:type="dxa"/>
              <w:bottom w:w="0" w:type="dxa"/>
              <w:right w:w="0" w:type="dxa"/>
            </w:tcMar>
            <w:vAlign w:val="center"/>
          </w:tcPr>
          <w:p w14:paraId="29110918"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0D96A8A7"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67D0B45B" w14:textId="77777777" w:rsidR="00340A38" w:rsidRDefault="00340A38" w:rsidP="002030EC">
            <w:pPr>
              <w:spacing w:after="0"/>
              <w:jc w:val="center"/>
              <w:rPr>
                <w:sz w:val="18"/>
                <w:szCs w:val="18"/>
              </w:rPr>
            </w:pPr>
          </w:p>
        </w:tc>
        <w:tc>
          <w:tcPr>
            <w:tcW w:w="705" w:type="dxa"/>
            <w:tcBorders>
              <w:top w:val="nil"/>
              <w:left w:val="nil"/>
              <w:bottom w:val="nil"/>
              <w:right w:val="nil"/>
            </w:tcBorders>
            <w:tcMar>
              <w:top w:w="0" w:type="dxa"/>
              <w:left w:w="0" w:type="dxa"/>
              <w:bottom w:w="0" w:type="dxa"/>
              <w:right w:w="0" w:type="dxa"/>
            </w:tcMar>
            <w:vAlign w:val="center"/>
          </w:tcPr>
          <w:p w14:paraId="4CA3EEE9"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4811310B" w14:textId="77777777" w:rsidR="00340A38" w:rsidRDefault="00340A38" w:rsidP="002030EC">
            <w:pPr>
              <w:spacing w:after="0"/>
              <w:jc w:val="center"/>
              <w:rPr>
                <w:sz w:val="18"/>
                <w:szCs w:val="18"/>
              </w:rPr>
            </w:pPr>
          </w:p>
        </w:tc>
        <w:tc>
          <w:tcPr>
            <w:tcW w:w="705" w:type="dxa"/>
            <w:tcBorders>
              <w:top w:val="nil"/>
              <w:left w:val="nil"/>
              <w:bottom w:val="nil"/>
              <w:right w:val="nil"/>
            </w:tcBorders>
            <w:tcMar>
              <w:top w:w="0" w:type="dxa"/>
              <w:left w:w="0" w:type="dxa"/>
              <w:bottom w:w="0" w:type="dxa"/>
              <w:right w:w="0" w:type="dxa"/>
            </w:tcMar>
            <w:vAlign w:val="center"/>
          </w:tcPr>
          <w:p w14:paraId="56934903"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6B64E602" w14:textId="77777777" w:rsidR="00340A38" w:rsidRDefault="00340A38" w:rsidP="002030EC">
            <w:pPr>
              <w:spacing w:after="0"/>
              <w:jc w:val="center"/>
              <w:rPr>
                <w:sz w:val="18"/>
                <w:szCs w:val="18"/>
              </w:rPr>
            </w:pPr>
          </w:p>
        </w:tc>
        <w:tc>
          <w:tcPr>
            <w:tcW w:w="705" w:type="dxa"/>
            <w:tcBorders>
              <w:top w:val="nil"/>
              <w:left w:val="nil"/>
              <w:bottom w:val="nil"/>
              <w:right w:val="nil"/>
            </w:tcBorders>
            <w:tcMar>
              <w:top w:w="0" w:type="dxa"/>
              <w:left w:w="0" w:type="dxa"/>
              <w:bottom w:w="0" w:type="dxa"/>
              <w:right w:w="0" w:type="dxa"/>
            </w:tcMar>
            <w:vAlign w:val="center"/>
          </w:tcPr>
          <w:p w14:paraId="18D8C67A"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4F42F170" w14:textId="77777777" w:rsidR="00340A38" w:rsidRDefault="00340A38" w:rsidP="002030EC">
            <w:pPr>
              <w:spacing w:after="0"/>
              <w:jc w:val="center"/>
              <w:rPr>
                <w:sz w:val="18"/>
                <w:szCs w:val="18"/>
              </w:rPr>
            </w:pPr>
          </w:p>
        </w:tc>
      </w:tr>
      <w:tr w:rsidR="00340A38" w14:paraId="6DA496E3" w14:textId="77777777" w:rsidTr="002030EC">
        <w:tc>
          <w:tcPr>
            <w:tcW w:w="705" w:type="dxa"/>
            <w:tcBorders>
              <w:top w:val="nil"/>
              <w:left w:val="nil"/>
              <w:bottom w:val="nil"/>
              <w:right w:val="nil"/>
            </w:tcBorders>
            <w:tcMar>
              <w:top w:w="0" w:type="dxa"/>
              <w:left w:w="0" w:type="dxa"/>
              <w:bottom w:w="0" w:type="dxa"/>
              <w:right w:w="0" w:type="dxa"/>
            </w:tcMar>
            <w:vAlign w:val="center"/>
          </w:tcPr>
          <w:p w14:paraId="533BEAE4" w14:textId="77777777" w:rsidR="00340A38" w:rsidRDefault="00000000" w:rsidP="002030EC">
            <w:pPr>
              <w:spacing w:after="0"/>
              <w:jc w:val="center"/>
              <w:rPr>
                <w:b/>
                <w:sz w:val="18"/>
                <w:szCs w:val="18"/>
              </w:rPr>
            </w:pPr>
            <w:r>
              <w:rPr>
                <w:b/>
                <w:sz w:val="18"/>
                <w:szCs w:val="18"/>
              </w:rPr>
              <w:t>CTEN</w:t>
            </w:r>
          </w:p>
        </w:tc>
        <w:tc>
          <w:tcPr>
            <w:tcW w:w="705" w:type="dxa"/>
            <w:tcBorders>
              <w:top w:val="nil"/>
              <w:left w:val="nil"/>
              <w:bottom w:val="nil"/>
              <w:right w:val="nil"/>
            </w:tcBorders>
            <w:tcMar>
              <w:top w:w="0" w:type="dxa"/>
              <w:left w:w="0" w:type="dxa"/>
              <w:bottom w:w="0" w:type="dxa"/>
              <w:right w:w="0" w:type="dxa"/>
            </w:tcMar>
            <w:vAlign w:val="center"/>
          </w:tcPr>
          <w:p w14:paraId="3CAF2144" w14:textId="77777777" w:rsidR="00340A38" w:rsidRDefault="00000000" w:rsidP="002030EC">
            <w:pPr>
              <w:spacing w:after="0"/>
              <w:jc w:val="center"/>
              <w:rPr>
                <w:sz w:val="18"/>
                <w:szCs w:val="18"/>
              </w:rPr>
            </w:pPr>
            <w:r>
              <w:rPr>
                <w:sz w:val="18"/>
                <w:szCs w:val="18"/>
              </w:rPr>
              <w:t>0.051</w:t>
            </w:r>
          </w:p>
        </w:tc>
        <w:tc>
          <w:tcPr>
            <w:tcW w:w="705" w:type="dxa"/>
            <w:tcBorders>
              <w:top w:val="nil"/>
              <w:left w:val="nil"/>
              <w:bottom w:val="nil"/>
              <w:right w:val="nil"/>
            </w:tcBorders>
            <w:tcMar>
              <w:top w:w="0" w:type="dxa"/>
              <w:left w:w="0" w:type="dxa"/>
              <w:bottom w:w="0" w:type="dxa"/>
              <w:right w:w="0" w:type="dxa"/>
            </w:tcMar>
            <w:vAlign w:val="center"/>
          </w:tcPr>
          <w:p w14:paraId="259C11E2" w14:textId="77777777" w:rsidR="00340A38" w:rsidRDefault="00000000" w:rsidP="002030EC">
            <w:pPr>
              <w:spacing w:after="0"/>
              <w:jc w:val="center"/>
              <w:rPr>
                <w:sz w:val="18"/>
                <w:szCs w:val="18"/>
              </w:rPr>
            </w:pPr>
            <w:r>
              <w:rPr>
                <w:sz w:val="18"/>
                <w:szCs w:val="18"/>
              </w:rPr>
              <w:t>0.181</w:t>
            </w:r>
          </w:p>
        </w:tc>
        <w:tc>
          <w:tcPr>
            <w:tcW w:w="705" w:type="dxa"/>
            <w:tcBorders>
              <w:top w:val="nil"/>
              <w:left w:val="nil"/>
              <w:bottom w:val="nil"/>
              <w:right w:val="nil"/>
            </w:tcBorders>
            <w:tcMar>
              <w:top w:w="0" w:type="dxa"/>
              <w:left w:w="0" w:type="dxa"/>
              <w:bottom w:w="0" w:type="dxa"/>
              <w:right w:w="0" w:type="dxa"/>
            </w:tcMar>
            <w:vAlign w:val="center"/>
          </w:tcPr>
          <w:p w14:paraId="6F66DF52" w14:textId="77777777" w:rsidR="00340A38" w:rsidRDefault="00000000" w:rsidP="002030EC">
            <w:pPr>
              <w:spacing w:after="0"/>
              <w:jc w:val="center"/>
              <w:rPr>
                <w:sz w:val="18"/>
                <w:szCs w:val="18"/>
              </w:rPr>
            </w:pPr>
            <w:r>
              <w:rPr>
                <w:sz w:val="18"/>
                <w:szCs w:val="18"/>
              </w:rPr>
              <w:t>1.000</w:t>
            </w:r>
          </w:p>
        </w:tc>
        <w:tc>
          <w:tcPr>
            <w:tcW w:w="705" w:type="dxa"/>
            <w:tcBorders>
              <w:top w:val="nil"/>
              <w:left w:val="nil"/>
              <w:bottom w:val="nil"/>
              <w:right w:val="nil"/>
            </w:tcBorders>
            <w:tcMar>
              <w:top w:w="0" w:type="dxa"/>
              <w:left w:w="0" w:type="dxa"/>
              <w:bottom w:w="0" w:type="dxa"/>
              <w:right w:w="0" w:type="dxa"/>
            </w:tcMar>
            <w:vAlign w:val="center"/>
          </w:tcPr>
          <w:p w14:paraId="58922CEC" w14:textId="77777777" w:rsidR="00340A38" w:rsidRDefault="00340A38" w:rsidP="002030EC">
            <w:pPr>
              <w:spacing w:after="0"/>
              <w:jc w:val="center"/>
              <w:rPr>
                <w:sz w:val="18"/>
                <w:szCs w:val="18"/>
              </w:rPr>
            </w:pPr>
          </w:p>
        </w:tc>
        <w:tc>
          <w:tcPr>
            <w:tcW w:w="705" w:type="dxa"/>
            <w:tcBorders>
              <w:top w:val="nil"/>
              <w:left w:val="nil"/>
              <w:bottom w:val="nil"/>
              <w:right w:val="nil"/>
            </w:tcBorders>
            <w:tcMar>
              <w:top w:w="0" w:type="dxa"/>
              <w:left w:w="0" w:type="dxa"/>
              <w:bottom w:w="0" w:type="dxa"/>
              <w:right w:w="0" w:type="dxa"/>
            </w:tcMar>
            <w:vAlign w:val="center"/>
          </w:tcPr>
          <w:p w14:paraId="7AD2355E"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6D565CF8"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25397FAB" w14:textId="77777777" w:rsidR="00340A38" w:rsidRDefault="00340A38" w:rsidP="002030EC">
            <w:pPr>
              <w:spacing w:after="0"/>
              <w:jc w:val="center"/>
              <w:rPr>
                <w:sz w:val="18"/>
                <w:szCs w:val="18"/>
              </w:rPr>
            </w:pPr>
          </w:p>
        </w:tc>
        <w:tc>
          <w:tcPr>
            <w:tcW w:w="705" w:type="dxa"/>
            <w:tcBorders>
              <w:top w:val="nil"/>
              <w:left w:val="nil"/>
              <w:bottom w:val="nil"/>
              <w:right w:val="nil"/>
            </w:tcBorders>
            <w:tcMar>
              <w:top w:w="0" w:type="dxa"/>
              <w:left w:w="0" w:type="dxa"/>
              <w:bottom w:w="0" w:type="dxa"/>
              <w:right w:w="0" w:type="dxa"/>
            </w:tcMar>
            <w:vAlign w:val="center"/>
          </w:tcPr>
          <w:p w14:paraId="29E39A6A"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1BA79F70" w14:textId="77777777" w:rsidR="00340A38" w:rsidRDefault="00340A38" w:rsidP="002030EC">
            <w:pPr>
              <w:spacing w:after="0"/>
              <w:jc w:val="center"/>
              <w:rPr>
                <w:sz w:val="18"/>
                <w:szCs w:val="18"/>
              </w:rPr>
            </w:pPr>
          </w:p>
        </w:tc>
        <w:tc>
          <w:tcPr>
            <w:tcW w:w="705" w:type="dxa"/>
            <w:tcBorders>
              <w:top w:val="nil"/>
              <w:left w:val="nil"/>
              <w:bottom w:val="nil"/>
              <w:right w:val="nil"/>
            </w:tcBorders>
            <w:tcMar>
              <w:top w:w="0" w:type="dxa"/>
              <w:left w:w="0" w:type="dxa"/>
              <w:bottom w:w="0" w:type="dxa"/>
              <w:right w:w="0" w:type="dxa"/>
            </w:tcMar>
            <w:vAlign w:val="center"/>
          </w:tcPr>
          <w:p w14:paraId="089C57BE"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70DED582" w14:textId="77777777" w:rsidR="00340A38" w:rsidRDefault="00340A38" w:rsidP="002030EC">
            <w:pPr>
              <w:spacing w:after="0"/>
              <w:jc w:val="center"/>
              <w:rPr>
                <w:sz w:val="18"/>
                <w:szCs w:val="18"/>
              </w:rPr>
            </w:pPr>
          </w:p>
        </w:tc>
        <w:tc>
          <w:tcPr>
            <w:tcW w:w="705" w:type="dxa"/>
            <w:tcBorders>
              <w:top w:val="nil"/>
              <w:left w:val="nil"/>
              <w:bottom w:val="nil"/>
              <w:right w:val="nil"/>
            </w:tcBorders>
            <w:tcMar>
              <w:top w:w="0" w:type="dxa"/>
              <w:left w:w="0" w:type="dxa"/>
              <w:bottom w:w="0" w:type="dxa"/>
              <w:right w:w="0" w:type="dxa"/>
            </w:tcMar>
            <w:vAlign w:val="center"/>
          </w:tcPr>
          <w:p w14:paraId="2FB1D2FD"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53F80A00" w14:textId="77777777" w:rsidR="00340A38" w:rsidRDefault="00340A38" w:rsidP="002030EC">
            <w:pPr>
              <w:spacing w:after="0"/>
              <w:jc w:val="center"/>
              <w:rPr>
                <w:sz w:val="18"/>
                <w:szCs w:val="18"/>
              </w:rPr>
            </w:pPr>
          </w:p>
        </w:tc>
      </w:tr>
      <w:tr w:rsidR="00340A38" w14:paraId="6E11BE3C" w14:textId="77777777" w:rsidTr="002030EC">
        <w:tc>
          <w:tcPr>
            <w:tcW w:w="705" w:type="dxa"/>
            <w:tcBorders>
              <w:top w:val="nil"/>
              <w:left w:val="nil"/>
              <w:bottom w:val="nil"/>
              <w:right w:val="nil"/>
            </w:tcBorders>
            <w:tcMar>
              <w:top w:w="0" w:type="dxa"/>
              <w:left w:w="0" w:type="dxa"/>
              <w:bottom w:w="0" w:type="dxa"/>
              <w:right w:w="0" w:type="dxa"/>
            </w:tcMar>
            <w:vAlign w:val="center"/>
          </w:tcPr>
          <w:p w14:paraId="5E3D6A17" w14:textId="77777777" w:rsidR="00340A38" w:rsidRDefault="00000000" w:rsidP="002030EC">
            <w:pPr>
              <w:spacing w:after="0"/>
              <w:jc w:val="center"/>
              <w:rPr>
                <w:b/>
                <w:sz w:val="18"/>
                <w:szCs w:val="18"/>
              </w:rPr>
            </w:pPr>
            <w:r>
              <w:rPr>
                <w:b/>
                <w:sz w:val="18"/>
                <w:szCs w:val="18"/>
              </w:rPr>
              <w:t>CDUA</w:t>
            </w:r>
          </w:p>
        </w:tc>
        <w:tc>
          <w:tcPr>
            <w:tcW w:w="705" w:type="dxa"/>
            <w:tcBorders>
              <w:top w:val="nil"/>
              <w:left w:val="nil"/>
              <w:bottom w:val="nil"/>
              <w:right w:val="nil"/>
            </w:tcBorders>
            <w:tcMar>
              <w:top w:w="0" w:type="dxa"/>
              <w:left w:w="0" w:type="dxa"/>
              <w:bottom w:w="0" w:type="dxa"/>
              <w:right w:w="0" w:type="dxa"/>
            </w:tcMar>
            <w:vAlign w:val="center"/>
          </w:tcPr>
          <w:p w14:paraId="751BD649" w14:textId="77777777" w:rsidR="00340A38" w:rsidRDefault="00000000" w:rsidP="002030EC">
            <w:pPr>
              <w:spacing w:after="0"/>
              <w:jc w:val="center"/>
              <w:rPr>
                <w:sz w:val="18"/>
                <w:szCs w:val="18"/>
              </w:rPr>
            </w:pPr>
            <w:r>
              <w:rPr>
                <w:sz w:val="18"/>
                <w:szCs w:val="18"/>
              </w:rPr>
              <w:t>0.005</w:t>
            </w:r>
          </w:p>
        </w:tc>
        <w:tc>
          <w:tcPr>
            <w:tcW w:w="705" w:type="dxa"/>
            <w:tcBorders>
              <w:top w:val="nil"/>
              <w:left w:val="nil"/>
              <w:bottom w:val="nil"/>
              <w:right w:val="nil"/>
            </w:tcBorders>
            <w:tcMar>
              <w:top w:w="0" w:type="dxa"/>
              <w:left w:w="0" w:type="dxa"/>
              <w:bottom w:w="0" w:type="dxa"/>
              <w:right w:w="0" w:type="dxa"/>
            </w:tcMar>
            <w:vAlign w:val="center"/>
          </w:tcPr>
          <w:p w14:paraId="47F897DE" w14:textId="77777777" w:rsidR="00340A38" w:rsidRDefault="00000000" w:rsidP="002030EC">
            <w:pPr>
              <w:spacing w:after="0"/>
              <w:jc w:val="center"/>
              <w:rPr>
                <w:sz w:val="18"/>
                <w:szCs w:val="18"/>
              </w:rPr>
            </w:pPr>
            <w:r>
              <w:rPr>
                <w:sz w:val="18"/>
                <w:szCs w:val="18"/>
              </w:rPr>
              <w:t>0.170</w:t>
            </w:r>
          </w:p>
        </w:tc>
        <w:tc>
          <w:tcPr>
            <w:tcW w:w="705" w:type="dxa"/>
            <w:tcBorders>
              <w:top w:val="nil"/>
              <w:left w:val="nil"/>
              <w:bottom w:val="nil"/>
              <w:right w:val="nil"/>
            </w:tcBorders>
            <w:tcMar>
              <w:top w:w="0" w:type="dxa"/>
              <w:left w:w="0" w:type="dxa"/>
              <w:bottom w:w="0" w:type="dxa"/>
              <w:right w:w="0" w:type="dxa"/>
            </w:tcMar>
            <w:vAlign w:val="center"/>
          </w:tcPr>
          <w:p w14:paraId="26E70853" w14:textId="77777777" w:rsidR="00340A38" w:rsidRDefault="00000000" w:rsidP="002030EC">
            <w:pPr>
              <w:spacing w:after="0"/>
              <w:jc w:val="center"/>
              <w:rPr>
                <w:sz w:val="18"/>
                <w:szCs w:val="18"/>
              </w:rPr>
            </w:pPr>
            <w:r>
              <w:rPr>
                <w:sz w:val="18"/>
                <w:szCs w:val="18"/>
              </w:rPr>
              <w:t>0.234</w:t>
            </w:r>
          </w:p>
        </w:tc>
        <w:tc>
          <w:tcPr>
            <w:tcW w:w="705" w:type="dxa"/>
            <w:tcBorders>
              <w:top w:val="nil"/>
              <w:left w:val="nil"/>
              <w:bottom w:val="nil"/>
              <w:right w:val="nil"/>
            </w:tcBorders>
            <w:tcMar>
              <w:top w:w="0" w:type="dxa"/>
              <w:left w:w="0" w:type="dxa"/>
              <w:bottom w:w="0" w:type="dxa"/>
              <w:right w:w="0" w:type="dxa"/>
            </w:tcMar>
            <w:vAlign w:val="center"/>
          </w:tcPr>
          <w:p w14:paraId="0837287B" w14:textId="77777777" w:rsidR="00340A38" w:rsidRDefault="00000000" w:rsidP="002030EC">
            <w:pPr>
              <w:spacing w:after="0"/>
              <w:jc w:val="center"/>
              <w:rPr>
                <w:sz w:val="18"/>
                <w:szCs w:val="18"/>
              </w:rPr>
            </w:pPr>
            <w:r>
              <w:rPr>
                <w:sz w:val="18"/>
                <w:szCs w:val="18"/>
              </w:rPr>
              <w:t>1.000</w:t>
            </w:r>
          </w:p>
        </w:tc>
        <w:tc>
          <w:tcPr>
            <w:tcW w:w="705" w:type="dxa"/>
            <w:tcBorders>
              <w:top w:val="nil"/>
              <w:left w:val="nil"/>
              <w:bottom w:val="nil"/>
              <w:right w:val="nil"/>
            </w:tcBorders>
            <w:tcMar>
              <w:top w:w="0" w:type="dxa"/>
              <w:left w:w="0" w:type="dxa"/>
              <w:bottom w:w="0" w:type="dxa"/>
              <w:right w:w="0" w:type="dxa"/>
            </w:tcMar>
            <w:vAlign w:val="center"/>
          </w:tcPr>
          <w:p w14:paraId="47189F5F"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16A6CB31"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17CDDBD0" w14:textId="77777777" w:rsidR="00340A38" w:rsidRDefault="00340A38" w:rsidP="002030EC">
            <w:pPr>
              <w:spacing w:after="0"/>
              <w:jc w:val="center"/>
              <w:rPr>
                <w:sz w:val="18"/>
                <w:szCs w:val="18"/>
              </w:rPr>
            </w:pPr>
          </w:p>
        </w:tc>
        <w:tc>
          <w:tcPr>
            <w:tcW w:w="705" w:type="dxa"/>
            <w:tcBorders>
              <w:top w:val="nil"/>
              <w:left w:val="nil"/>
              <w:bottom w:val="nil"/>
              <w:right w:val="nil"/>
            </w:tcBorders>
            <w:tcMar>
              <w:top w:w="0" w:type="dxa"/>
              <w:left w:w="0" w:type="dxa"/>
              <w:bottom w:w="0" w:type="dxa"/>
              <w:right w:w="0" w:type="dxa"/>
            </w:tcMar>
            <w:vAlign w:val="center"/>
          </w:tcPr>
          <w:p w14:paraId="4F767934"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0F14940A" w14:textId="77777777" w:rsidR="00340A38" w:rsidRDefault="00340A38" w:rsidP="002030EC">
            <w:pPr>
              <w:spacing w:after="0"/>
              <w:jc w:val="center"/>
              <w:rPr>
                <w:sz w:val="18"/>
                <w:szCs w:val="18"/>
              </w:rPr>
            </w:pPr>
          </w:p>
        </w:tc>
        <w:tc>
          <w:tcPr>
            <w:tcW w:w="705" w:type="dxa"/>
            <w:tcBorders>
              <w:top w:val="nil"/>
              <w:left w:val="nil"/>
              <w:bottom w:val="nil"/>
              <w:right w:val="nil"/>
            </w:tcBorders>
            <w:tcMar>
              <w:top w:w="0" w:type="dxa"/>
              <w:left w:w="0" w:type="dxa"/>
              <w:bottom w:w="0" w:type="dxa"/>
              <w:right w:w="0" w:type="dxa"/>
            </w:tcMar>
            <w:vAlign w:val="center"/>
          </w:tcPr>
          <w:p w14:paraId="237FF670"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7F1DE001" w14:textId="77777777" w:rsidR="00340A38" w:rsidRDefault="00340A38" w:rsidP="002030EC">
            <w:pPr>
              <w:spacing w:after="0"/>
              <w:jc w:val="center"/>
              <w:rPr>
                <w:sz w:val="18"/>
                <w:szCs w:val="18"/>
              </w:rPr>
            </w:pPr>
          </w:p>
        </w:tc>
        <w:tc>
          <w:tcPr>
            <w:tcW w:w="705" w:type="dxa"/>
            <w:tcBorders>
              <w:top w:val="nil"/>
              <w:left w:val="nil"/>
              <w:bottom w:val="nil"/>
              <w:right w:val="nil"/>
            </w:tcBorders>
            <w:tcMar>
              <w:top w:w="0" w:type="dxa"/>
              <w:left w:w="0" w:type="dxa"/>
              <w:bottom w:w="0" w:type="dxa"/>
              <w:right w:w="0" w:type="dxa"/>
            </w:tcMar>
            <w:vAlign w:val="center"/>
          </w:tcPr>
          <w:p w14:paraId="382784D8"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5F201D52" w14:textId="77777777" w:rsidR="00340A38" w:rsidRDefault="00340A38" w:rsidP="002030EC">
            <w:pPr>
              <w:spacing w:after="0"/>
              <w:jc w:val="center"/>
              <w:rPr>
                <w:sz w:val="18"/>
                <w:szCs w:val="18"/>
              </w:rPr>
            </w:pPr>
          </w:p>
        </w:tc>
      </w:tr>
      <w:tr w:rsidR="00340A38" w14:paraId="78C04587" w14:textId="77777777" w:rsidTr="002030EC">
        <w:tc>
          <w:tcPr>
            <w:tcW w:w="705" w:type="dxa"/>
            <w:tcBorders>
              <w:top w:val="nil"/>
              <w:left w:val="nil"/>
              <w:bottom w:val="nil"/>
              <w:right w:val="nil"/>
            </w:tcBorders>
            <w:tcMar>
              <w:top w:w="0" w:type="dxa"/>
              <w:left w:w="0" w:type="dxa"/>
              <w:bottom w:w="0" w:type="dxa"/>
              <w:right w:w="0" w:type="dxa"/>
            </w:tcMar>
            <w:vAlign w:val="center"/>
          </w:tcPr>
          <w:p w14:paraId="39BBEFC5" w14:textId="77777777" w:rsidR="00340A38" w:rsidRDefault="00000000" w:rsidP="002030EC">
            <w:pPr>
              <w:spacing w:after="0"/>
              <w:jc w:val="center"/>
              <w:rPr>
                <w:b/>
                <w:sz w:val="18"/>
                <w:szCs w:val="18"/>
              </w:rPr>
            </w:pPr>
            <w:r>
              <w:rPr>
                <w:b/>
                <w:sz w:val="18"/>
                <w:szCs w:val="18"/>
              </w:rPr>
              <w:t>CSWP</w:t>
            </w:r>
          </w:p>
        </w:tc>
        <w:tc>
          <w:tcPr>
            <w:tcW w:w="705" w:type="dxa"/>
            <w:tcBorders>
              <w:top w:val="nil"/>
              <w:left w:val="nil"/>
              <w:bottom w:val="nil"/>
              <w:right w:val="nil"/>
            </w:tcBorders>
            <w:tcMar>
              <w:top w:w="0" w:type="dxa"/>
              <w:left w:w="0" w:type="dxa"/>
              <w:bottom w:w="0" w:type="dxa"/>
              <w:right w:w="0" w:type="dxa"/>
            </w:tcMar>
            <w:vAlign w:val="center"/>
          </w:tcPr>
          <w:p w14:paraId="79EA28A9" w14:textId="77777777" w:rsidR="00340A38" w:rsidRDefault="00000000" w:rsidP="002030EC">
            <w:pPr>
              <w:spacing w:after="0"/>
              <w:jc w:val="center"/>
              <w:rPr>
                <w:sz w:val="18"/>
                <w:szCs w:val="18"/>
              </w:rPr>
            </w:pPr>
            <w:r>
              <w:rPr>
                <w:sz w:val="18"/>
                <w:szCs w:val="18"/>
              </w:rPr>
              <w:t>0.025</w:t>
            </w:r>
          </w:p>
        </w:tc>
        <w:tc>
          <w:tcPr>
            <w:tcW w:w="705" w:type="dxa"/>
            <w:tcBorders>
              <w:top w:val="nil"/>
              <w:left w:val="nil"/>
              <w:bottom w:val="nil"/>
              <w:right w:val="nil"/>
            </w:tcBorders>
            <w:tcMar>
              <w:top w:w="0" w:type="dxa"/>
              <w:left w:w="0" w:type="dxa"/>
              <w:bottom w:w="0" w:type="dxa"/>
              <w:right w:w="0" w:type="dxa"/>
            </w:tcMar>
            <w:vAlign w:val="center"/>
          </w:tcPr>
          <w:p w14:paraId="2726E244" w14:textId="77777777" w:rsidR="00340A38" w:rsidRDefault="00000000" w:rsidP="002030EC">
            <w:pPr>
              <w:spacing w:after="0"/>
              <w:jc w:val="center"/>
              <w:rPr>
                <w:sz w:val="18"/>
                <w:szCs w:val="18"/>
              </w:rPr>
            </w:pPr>
            <w:r>
              <w:rPr>
                <w:sz w:val="18"/>
                <w:szCs w:val="18"/>
              </w:rPr>
              <w:t>0.069</w:t>
            </w:r>
          </w:p>
        </w:tc>
        <w:tc>
          <w:tcPr>
            <w:tcW w:w="705" w:type="dxa"/>
            <w:tcBorders>
              <w:top w:val="nil"/>
              <w:left w:val="nil"/>
              <w:bottom w:val="nil"/>
              <w:right w:val="nil"/>
            </w:tcBorders>
            <w:tcMar>
              <w:top w:w="0" w:type="dxa"/>
              <w:left w:w="0" w:type="dxa"/>
              <w:bottom w:w="0" w:type="dxa"/>
              <w:right w:w="0" w:type="dxa"/>
            </w:tcMar>
            <w:vAlign w:val="center"/>
          </w:tcPr>
          <w:p w14:paraId="19C322BF" w14:textId="77777777" w:rsidR="00340A38" w:rsidRDefault="00000000" w:rsidP="002030EC">
            <w:pPr>
              <w:spacing w:after="0"/>
              <w:jc w:val="center"/>
              <w:rPr>
                <w:sz w:val="18"/>
                <w:szCs w:val="18"/>
              </w:rPr>
            </w:pPr>
            <w:r>
              <w:rPr>
                <w:sz w:val="18"/>
                <w:szCs w:val="18"/>
              </w:rPr>
              <w:t>0.175</w:t>
            </w:r>
          </w:p>
        </w:tc>
        <w:tc>
          <w:tcPr>
            <w:tcW w:w="705" w:type="dxa"/>
            <w:tcBorders>
              <w:top w:val="nil"/>
              <w:left w:val="nil"/>
              <w:bottom w:val="nil"/>
              <w:right w:val="nil"/>
            </w:tcBorders>
            <w:tcMar>
              <w:top w:w="0" w:type="dxa"/>
              <w:left w:w="0" w:type="dxa"/>
              <w:bottom w:w="0" w:type="dxa"/>
              <w:right w:w="0" w:type="dxa"/>
            </w:tcMar>
            <w:vAlign w:val="center"/>
          </w:tcPr>
          <w:p w14:paraId="6E18BD45" w14:textId="77777777" w:rsidR="00340A38" w:rsidRDefault="00000000" w:rsidP="002030EC">
            <w:pPr>
              <w:spacing w:after="0"/>
              <w:jc w:val="center"/>
              <w:rPr>
                <w:sz w:val="18"/>
                <w:szCs w:val="18"/>
              </w:rPr>
            </w:pPr>
            <w:r>
              <w:rPr>
                <w:sz w:val="18"/>
                <w:szCs w:val="18"/>
              </w:rPr>
              <w:t>0.367</w:t>
            </w:r>
          </w:p>
        </w:tc>
        <w:tc>
          <w:tcPr>
            <w:tcW w:w="705" w:type="dxa"/>
            <w:tcBorders>
              <w:top w:val="nil"/>
              <w:left w:val="nil"/>
              <w:bottom w:val="nil"/>
              <w:right w:val="nil"/>
            </w:tcBorders>
            <w:tcMar>
              <w:top w:w="0" w:type="dxa"/>
              <w:left w:w="0" w:type="dxa"/>
              <w:bottom w:w="0" w:type="dxa"/>
              <w:right w:w="0" w:type="dxa"/>
            </w:tcMar>
            <w:vAlign w:val="center"/>
          </w:tcPr>
          <w:p w14:paraId="4621EFA2" w14:textId="77777777" w:rsidR="00340A38" w:rsidRDefault="00000000" w:rsidP="002030EC">
            <w:pPr>
              <w:spacing w:after="0"/>
              <w:jc w:val="center"/>
              <w:rPr>
                <w:sz w:val="18"/>
                <w:szCs w:val="18"/>
              </w:rPr>
            </w:pPr>
            <w:r>
              <w:rPr>
                <w:sz w:val="18"/>
                <w:szCs w:val="18"/>
              </w:rPr>
              <w:t>1.000</w:t>
            </w:r>
          </w:p>
        </w:tc>
        <w:tc>
          <w:tcPr>
            <w:tcW w:w="675" w:type="dxa"/>
            <w:tcBorders>
              <w:top w:val="nil"/>
              <w:left w:val="nil"/>
              <w:bottom w:val="nil"/>
              <w:right w:val="nil"/>
            </w:tcBorders>
            <w:tcMar>
              <w:top w:w="0" w:type="dxa"/>
              <w:left w:w="0" w:type="dxa"/>
              <w:bottom w:w="0" w:type="dxa"/>
              <w:right w:w="0" w:type="dxa"/>
            </w:tcMar>
            <w:vAlign w:val="center"/>
          </w:tcPr>
          <w:p w14:paraId="1EF30587"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6C27C031" w14:textId="77777777" w:rsidR="00340A38" w:rsidRDefault="00340A38" w:rsidP="002030EC">
            <w:pPr>
              <w:spacing w:after="0"/>
              <w:jc w:val="center"/>
              <w:rPr>
                <w:sz w:val="18"/>
                <w:szCs w:val="18"/>
              </w:rPr>
            </w:pPr>
          </w:p>
        </w:tc>
        <w:tc>
          <w:tcPr>
            <w:tcW w:w="705" w:type="dxa"/>
            <w:tcBorders>
              <w:top w:val="nil"/>
              <w:left w:val="nil"/>
              <w:bottom w:val="nil"/>
              <w:right w:val="nil"/>
            </w:tcBorders>
            <w:tcMar>
              <w:top w:w="0" w:type="dxa"/>
              <w:left w:w="0" w:type="dxa"/>
              <w:bottom w:w="0" w:type="dxa"/>
              <w:right w:w="0" w:type="dxa"/>
            </w:tcMar>
            <w:vAlign w:val="center"/>
          </w:tcPr>
          <w:p w14:paraId="4C0501D3"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7723D663" w14:textId="77777777" w:rsidR="00340A38" w:rsidRDefault="00340A38" w:rsidP="002030EC">
            <w:pPr>
              <w:spacing w:after="0"/>
              <w:jc w:val="center"/>
              <w:rPr>
                <w:sz w:val="18"/>
                <w:szCs w:val="18"/>
              </w:rPr>
            </w:pPr>
          </w:p>
        </w:tc>
        <w:tc>
          <w:tcPr>
            <w:tcW w:w="705" w:type="dxa"/>
            <w:tcBorders>
              <w:top w:val="nil"/>
              <w:left w:val="nil"/>
              <w:bottom w:val="nil"/>
              <w:right w:val="nil"/>
            </w:tcBorders>
            <w:tcMar>
              <w:top w:w="0" w:type="dxa"/>
              <w:left w:w="0" w:type="dxa"/>
              <w:bottom w:w="0" w:type="dxa"/>
              <w:right w:w="0" w:type="dxa"/>
            </w:tcMar>
            <w:vAlign w:val="center"/>
          </w:tcPr>
          <w:p w14:paraId="34E492E5"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3FE4297E" w14:textId="77777777" w:rsidR="00340A38" w:rsidRDefault="00340A38" w:rsidP="002030EC">
            <w:pPr>
              <w:spacing w:after="0"/>
              <w:jc w:val="center"/>
              <w:rPr>
                <w:sz w:val="18"/>
                <w:szCs w:val="18"/>
              </w:rPr>
            </w:pPr>
          </w:p>
        </w:tc>
        <w:tc>
          <w:tcPr>
            <w:tcW w:w="705" w:type="dxa"/>
            <w:tcBorders>
              <w:top w:val="nil"/>
              <w:left w:val="nil"/>
              <w:bottom w:val="nil"/>
              <w:right w:val="nil"/>
            </w:tcBorders>
            <w:tcMar>
              <w:top w:w="0" w:type="dxa"/>
              <w:left w:w="0" w:type="dxa"/>
              <w:bottom w:w="0" w:type="dxa"/>
              <w:right w:w="0" w:type="dxa"/>
            </w:tcMar>
            <w:vAlign w:val="center"/>
          </w:tcPr>
          <w:p w14:paraId="2F18997F"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5DC564FE" w14:textId="77777777" w:rsidR="00340A38" w:rsidRDefault="00340A38" w:rsidP="002030EC">
            <w:pPr>
              <w:spacing w:after="0"/>
              <w:jc w:val="center"/>
              <w:rPr>
                <w:sz w:val="18"/>
                <w:szCs w:val="18"/>
              </w:rPr>
            </w:pPr>
          </w:p>
        </w:tc>
      </w:tr>
      <w:tr w:rsidR="00340A38" w14:paraId="403D2241" w14:textId="77777777" w:rsidTr="002030EC">
        <w:tc>
          <w:tcPr>
            <w:tcW w:w="705" w:type="dxa"/>
            <w:tcBorders>
              <w:top w:val="nil"/>
              <w:left w:val="nil"/>
              <w:bottom w:val="nil"/>
              <w:right w:val="nil"/>
            </w:tcBorders>
            <w:tcMar>
              <w:top w:w="0" w:type="dxa"/>
              <w:left w:w="0" w:type="dxa"/>
              <w:bottom w:w="0" w:type="dxa"/>
              <w:right w:w="0" w:type="dxa"/>
            </w:tcMar>
            <w:vAlign w:val="center"/>
          </w:tcPr>
          <w:p w14:paraId="03384368" w14:textId="77777777" w:rsidR="00340A38" w:rsidRDefault="00000000" w:rsidP="002030EC">
            <w:pPr>
              <w:spacing w:after="0"/>
              <w:jc w:val="center"/>
              <w:rPr>
                <w:b/>
                <w:sz w:val="18"/>
                <w:szCs w:val="18"/>
              </w:rPr>
            </w:pPr>
            <w:r>
              <w:rPr>
                <w:b/>
                <w:sz w:val="18"/>
                <w:szCs w:val="18"/>
              </w:rPr>
              <w:t>BDN</w:t>
            </w:r>
          </w:p>
        </w:tc>
        <w:tc>
          <w:tcPr>
            <w:tcW w:w="705" w:type="dxa"/>
            <w:tcBorders>
              <w:top w:val="nil"/>
              <w:left w:val="nil"/>
              <w:bottom w:val="nil"/>
              <w:right w:val="nil"/>
            </w:tcBorders>
            <w:tcMar>
              <w:top w:w="0" w:type="dxa"/>
              <w:left w:w="0" w:type="dxa"/>
              <w:bottom w:w="0" w:type="dxa"/>
              <w:right w:w="0" w:type="dxa"/>
            </w:tcMar>
            <w:vAlign w:val="center"/>
          </w:tcPr>
          <w:p w14:paraId="207EADE5" w14:textId="77777777" w:rsidR="00340A38" w:rsidRDefault="00000000" w:rsidP="002030EC">
            <w:pPr>
              <w:spacing w:after="0"/>
              <w:jc w:val="center"/>
              <w:rPr>
                <w:sz w:val="18"/>
                <w:szCs w:val="18"/>
              </w:rPr>
            </w:pPr>
            <w:r>
              <w:rPr>
                <w:sz w:val="18"/>
                <w:szCs w:val="18"/>
              </w:rPr>
              <w:t>0.053</w:t>
            </w:r>
          </w:p>
        </w:tc>
        <w:tc>
          <w:tcPr>
            <w:tcW w:w="705" w:type="dxa"/>
            <w:tcBorders>
              <w:top w:val="nil"/>
              <w:left w:val="nil"/>
              <w:bottom w:val="nil"/>
              <w:right w:val="nil"/>
            </w:tcBorders>
            <w:tcMar>
              <w:top w:w="0" w:type="dxa"/>
              <w:left w:w="0" w:type="dxa"/>
              <w:bottom w:w="0" w:type="dxa"/>
              <w:right w:w="0" w:type="dxa"/>
            </w:tcMar>
            <w:vAlign w:val="center"/>
          </w:tcPr>
          <w:p w14:paraId="36E1FE1D" w14:textId="77777777" w:rsidR="00340A38" w:rsidRDefault="00000000" w:rsidP="002030EC">
            <w:pPr>
              <w:spacing w:after="0"/>
              <w:jc w:val="center"/>
              <w:rPr>
                <w:sz w:val="18"/>
                <w:szCs w:val="18"/>
              </w:rPr>
            </w:pPr>
            <w:r>
              <w:rPr>
                <w:sz w:val="18"/>
                <w:szCs w:val="18"/>
              </w:rPr>
              <w:t>-0.012</w:t>
            </w:r>
          </w:p>
        </w:tc>
        <w:tc>
          <w:tcPr>
            <w:tcW w:w="705" w:type="dxa"/>
            <w:tcBorders>
              <w:top w:val="nil"/>
              <w:left w:val="nil"/>
              <w:bottom w:val="nil"/>
              <w:right w:val="nil"/>
            </w:tcBorders>
            <w:tcMar>
              <w:top w:w="0" w:type="dxa"/>
              <w:left w:w="0" w:type="dxa"/>
              <w:bottom w:w="0" w:type="dxa"/>
              <w:right w:w="0" w:type="dxa"/>
            </w:tcMar>
            <w:vAlign w:val="center"/>
          </w:tcPr>
          <w:p w14:paraId="16DE79CD" w14:textId="77777777" w:rsidR="00340A38" w:rsidRDefault="00000000" w:rsidP="002030EC">
            <w:pPr>
              <w:spacing w:after="0"/>
              <w:jc w:val="center"/>
              <w:rPr>
                <w:sz w:val="18"/>
                <w:szCs w:val="18"/>
              </w:rPr>
            </w:pPr>
            <w:r>
              <w:rPr>
                <w:sz w:val="18"/>
                <w:szCs w:val="18"/>
              </w:rPr>
              <w:t>-0.050</w:t>
            </w:r>
          </w:p>
        </w:tc>
        <w:tc>
          <w:tcPr>
            <w:tcW w:w="705" w:type="dxa"/>
            <w:tcBorders>
              <w:top w:val="nil"/>
              <w:left w:val="nil"/>
              <w:bottom w:val="nil"/>
              <w:right w:val="nil"/>
            </w:tcBorders>
            <w:tcMar>
              <w:top w:w="0" w:type="dxa"/>
              <w:left w:w="0" w:type="dxa"/>
              <w:bottom w:w="0" w:type="dxa"/>
              <w:right w:w="0" w:type="dxa"/>
            </w:tcMar>
            <w:vAlign w:val="center"/>
          </w:tcPr>
          <w:p w14:paraId="6FF36A16" w14:textId="77777777" w:rsidR="00340A38" w:rsidRDefault="00000000" w:rsidP="002030EC">
            <w:pPr>
              <w:spacing w:after="0"/>
              <w:jc w:val="center"/>
              <w:rPr>
                <w:sz w:val="18"/>
                <w:szCs w:val="18"/>
              </w:rPr>
            </w:pPr>
            <w:r>
              <w:rPr>
                <w:sz w:val="18"/>
                <w:szCs w:val="18"/>
              </w:rPr>
              <w:t>-0.151</w:t>
            </w:r>
          </w:p>
        </w:tc>
        <w:tc>
          <w:tcPr>
            <w:tcW w:w="705" w:type="dxa"/>
            <w:tcBorders>
              <w:top w:val="nil"/>
              <w:left w:val="nil"/>
              <w:bottom w:val="nil"/>
              <w:right w:val="nil"/>
            </w:tcBorders>
            <w:tcMar>
              <w:top w:w="0" w:type="dxa"/>
              <w:left w:w="0" w:type="dxa"/>
              <w:bottom w:w="0" w:type="dxa"/>
              <w:right w:w="0" w:type="dxa"/>
            </w:tcMar>
            <w:vAlign w:val="center"/>
          </w:tcPr>
          <w:p w14:paraId="6839CC2B" w14:textId="77777777" w:rsidR="00340A38" w:rsidRDefault="00000000" w:rsidP="002030EC">
            <w:pPr>
              <w:spacing w:after="0"/>
              <w:jc w:val="center"/>
              <w:rPr>
                <w:sz w:val="18"/>
                <w:szCs w:val="18"/>
              </w:rPr>
            </w:pPr>
            <w:r>
              <w:rPr>
                <w:sz w:val="18"/>
                <w:szCs w:val="18"/>
              </w:rPr>
              <w:t>-0.166</w:t>
            </w:r>
          </w:p>
        </w:tc>
        <w:tc>
          <w:tcPr>
            <w:tcW w:w="675" w:type="dxa"/>
            <w:tcBorders>
              <w:top w:val="nil"/>
              <w:left w:val="nil"/>
              <w:bottom w:val="nil"/>
              <w:right w:val="nil"/>
            </w:tcBorders>
            <w:tcMar>
              <w:top w:w="0" w:type="dxa"/>
              <w:left w:w="0" w:type="dxa"/>
              <w:bottom w:w="0" w:type="dxa"/>
              <w:right w:w="0" w:type="dxa"/>
            </w:tcMar>
            <w:vAlign w:val="center"/>
          </w:tcPr>
          <w:p w14:paraId="0C5A8955" w14:textId="77777777" w:rsidR="00340A38" w:rsidRDefault="00000000" w:rsidP="002030EC">
            <w:pPr>
              <w:spacing w:after="0"/>
              <w:jc w:val="center"/>
              <w:rPr>
                <w:sz w:val="18"/>
                <w:szCs w:val="18"/>
              </w:rPr>
            </w:pPr>
            <w:r>
              <w:rPr>
                <w:sz w:val="18"/>
                <w:szCs w:val="18"/>
              </w:rPr>
              <w:t>1.000</w:t>
            </w:r>
          </w:p>
        </w:tc>
        <w:tc>
          <w:tcPr>
            <w:tcW w:w="675" w:type="dxa"/>
            <w:tcBorders>
              <w:top w:val="nil"/>
              <w:left w:val="nil"/>
              <w:bottom w:val="nil"/>
              <w:right w:val="nil"/>
            </w:tcBorders>
            <w:tcMar>
              <w:top w:w="0" w:type="dxa"/>
              <w:left w:w="0" w:type="dxa"/>
              <w:bottom w:w="0" w:type="dxa"/>
              <w:right w:w="0" w:type="dxa"/>
            </w:tcMar>
            <w:vAlign w:val="center"/>
          </w:tcPr>
          <w:p w14:paraId="08533116" w14:textId="77777777" w:rsidR="00340A38" w:rsidRDefault="00340A38" w:rsidP="002030EC">
            <w:pPr>
              <w:spacing w:after="0"/>
              <w:jc w:val="center"/>
              <w:rPr>
                <w:sz w:val="18"/>
                <w:szCs w:val="18"/>
              </w:rPr>
            </w:pPr>
          </w:p>
        </w:tc>
        <w:tc>
          <w:tcPr>
            <w:tcW w:w="705" w:type="dxa"/>
            <w:tcBorders>
              <w:top w:val="nil"/>
              <w:left w:val="nil"/>
              <w:bottom w:val="nil"/>
              <w:right w:val="nil"/>
            </w:tcBorders>
            <w:tcMar>
              <w:top w:w="0" w:type="dxa"/>
              <w:left w:w="0" w:type="dxa"/>
              <w:bottom w:w="0" w:type="dxa"/>
              <w:right w:w="0" w:type="dxa"/>
            </w:tcMar>
            <w:vAlign w:val="center"/>
          </w:tcPr>
          <w:p w14:paraId="7A8EDD19"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55C50C8E" w14:textId="77777777" w:rsidR="00340A38" w:rsidRDefault="00340A38" w:rsidP="002030EC">
            <w:pPr>
              <w:spacing w:after="0"/>
              <w:jc w:val="center"/>
              <w:rPr>
                <w:sz w:val="18"/>
                <w:szCs w:val="18"/>
              </w:rPr>
            </w:pPr>
          </w:p>
        </w:tc>
        <w:tc>
          <w:tcPr>
            <w:tcW w:w="705" w:type="dxa"/>
            <w:tcBorders>
              <w:top w:val="nil"/>
              <w:left w:val="nil"/>
              <w:bottom w:val="nil"/>
              <w:right w:val="nil"/>
            </w:tcBorders>
            <w:tcMar>
              <w:top w:w="0" w:type="dxa"/>
              <w:left w:w="0" w:type="dxa"/>
              <w:bottom w:w="0" w:type="dxa"/>
              <w:right w:w="0" w:type="dxa"/>
            </w:tcMar>
            <w:vAlign w:val="center"/>
          </w:tcPr>
          <w:p w14:paraId="037F82D3"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4DCA86F5" w14:textId="77777777" w:rsidR="00340A38" w:rsidRDefault="00340A38" w:rsidP="002030EC">
            <w:pPr>
              <w:spacing w:after="0"/>
              <w:jc w:val="center"/>
              <w:rPr>
                <w:sz w:val="18"/>
                <w:szCs w:val="18"/>
              </w:rPr>
            </w:pPr>
          </w:p>
        </w:tc>
        <w:tc>
          <w:tcPr>
            <w:tcW w:w="705" w:type="dxa"/>
            <w:tcBorders>
              <w:top w:val="nil"/>
              <w:left w:val="nil"/>
              <w:bottom w:val="nil"/>
              <w:right w:val="nil"/>
            </w:tcBorders>
            <w:tcMar>
              <w:top w:w="0" w:type="dxa"/>
              <w:left w:w="0" w:type="dxa"/>
              <w:bottom w:w="0" w:type="dxa"/>
              <w:right w:w="0" w:type="dxa"/>
            </w:tcMar>
            <w:vAlign w:val="center"/>
          </w:tcPr>
          <w:p w14:paraId="6DA84895"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6BF56553" w14:textId="77777777" w:rsidR="00340A38" w:rsidRDefault="00340A38" w:rsidP="002030EC">
            <w:pPr>
              <w:spacing w:after="0"/>
              <w:jc w:val="center"/>
              <w:rPr>
                <w:sz w:val="18"/>
                <w:szCs w:val="18"/>
              </w:rPr>
            </w:pPr>
          </w:p>
        </w:tc>
      </w:tr>
      <w:tr w:rsidR="00340A38" w14:paraId="368FDBD0" w14:textId="77777777" w:rsidTr="002030EC">
        <w:tc>
          <w:tcPr>
            <w:tcW w:w="705" w:type="dxa"/>
            <w:tcBorders>
              <w:top w:val="nil"/>
              <w:left w:val="nil"/>
              <w:bottom w:val="nil"/>
              <w:right w:val="nil"/>
            </w:tcBorders>
            <w:tcMar>
              <w:top w:w="0" w:type="dxa"/>
              <w:left w:w="0" w:type="dxa"/>
              <w:bottom w:w="0" w:type="dxa"/>
              <w:right w:w="0" w:type="dxa"/>
            </w:tcMar>
            <w:vAlign w:val="center"/>
          </w:tcPr>
          <w:p w14:paraId="0457F042" w14:textId="77777777" w:rsidR="00340A38" w:rsidRDefault="00000000" w:rsidP="002030EC">
            <w:pPr>
              <w:spacing w:after="0"/>
              <w:jc w:val="center"/>
              <w:rPr>
                <w:b/>
                <w:sz w:val="18"/>
                <w:szCs w:val="18"/>
              </w:rPr>
            </w:pPr>
            <w:r>
              <w:rPr>
                <w:b/>
                <w:sz w:val="18"/>
                <w:szCs w:val="18"/>
              </w:rPr>
              <w:t>BIND</w:t>
            </w:r>
          </w:p>
        </w:tc>
        <w:tc>
          <w:tcPr>
            <w:tcW w:w="705" w:type="dxa"/>
            <w:tcBorders>
              <w:top w:val="nil"/>
              <w:left w:val="nil"/>
              <w:bottom w:val="nil"/>
              <w:right w:val="nil"/>
            </w:tcBorders>
            <w:tcMar>
              <w:top w:w="0" w:type="dxa"/>
              <w:left w:w="0" w:type="dxa"/>
              <w:bottom w:w="0" w:type="dxa"/>
              <w:right w:w="0" w:type="dxa"/>
            </w:tcMar>
            <w:vAlign w:val="center"/>
          </w:tcPr>
          <w:p w14:paraId="3CA8C2E2" w14:textId="77777777" w:rsidR="00340A38" w:rsidRDefault="00000000" w:rsidP="002030EC">
            <w:pPr>
              <w:spacing w:after="0"/>
              <w:jc w:val="center"/>
              <w:rPr>
                <w:sz w:val="18"/>
                <w:szCs w:val="18"/>
              </w:rPr>
            </w:pPr>
            <w:r>
              <w:rPr>
                <w:sz w:val="18"/>
                <w:szCs w:val="18"/>
              </w:rPr>
              <w:t>0.028</w:t>
            </w:r>
          </w:p>
        </w:tc>
        <w:tc>
          <w:tcPr>
            <w:tcW w:w="705" w:type="dxa"/>
            <w:tcBorders>
              <w:top w:val="nil"/>
              <w:left w:val="nil"/>
              <w:bottom w:val="nil"/>
              <w:right w:val="nil"/>
            </w:tcBorders>
            <w:tcMar>
              <w:top w:w="0" w:type="dxa"/>
              <w:left w:w="0" w:type="dxa"/>
              <w:bottom w:w="0" w:type="dxa"/>
              <w:right w:w="0" w:type="dxa"/>
            </w:tcMar>
            <w:vAlign w:val="center"/>
          </w:tcPr>
          <w:p w14:paraId="314926B4" w14:textId="77777777" w:rsidR="00340A38" w:rsidRDefault="00000000" w:rsidP="002030EC">
            <w:pPr>
              <w:spacing w:after="0"/>
              <w:jc w:val="center"/>
              <w:rPr>
                <w:sz w:val="18"/>
                <w:szCs w:val="18"/>
              </w:rPr>
            </w:pPr>
            <w:r>
              <w:rPr>
                <w:sz w:val="18"/>
                <w:szCs w:val="18"/>
              </w:rPr>
              <w:t>0.026</w:t>
            </w:r>
          </w:p>
        </w:tc>
        <w:tc>
          <w:tcPr>
            <w:tcW w:w="705" w:type="dxa"/>
            <w:tcBorders>
              <w:top w:val="nil"/>
              <w:left w:val="nil"/>
              <w:bottom w:val="nil"/>
              <w:right w:val="nil"/>
            </w:tcBorders>
            <w:tcMar>
              <w:top w:w="0" w:type="dxa"/>
              <w:left w:w="0" w:type="dxa"/>
              <w:bottom w:w="0" w:type="dxa"/>
              <w:right w:w="0" w:type="dxa"/>
            </w:tcMar>
            <w:vAlign w:val="center"/>
          </w:tcPr>
          <w:p w14:paraId="5E5E8F9F" w14:textId="77777777" w:rsidR="00340A38" w:rsidRDefault="00000000" w:rsidP="002030EC">
            <w:pPr>
              <w:spacing w:after="0"/>
              <w:jc w:val="center"/>
              <w:rPr>
                <w:sz w:val="18"/>
                <w:szCs w:val="18"/>
              </w:rPr>
            </w:pPr>
            <w:r>
              <w:rPr>
                <w:sz w:val="18"/>
                <w:szCs w:val="18"/>
              </w:rPr>
              <w:t>0.026</w:t>
            </w:r>
          </w:p>
        </w:tc>
        <w:tc>
          <w:tcPr>
            <w:tcW w:w="705" w:type="dxa"/>
            <w:tcBorders>
              <w:top w:val="nil"/>
              <w:left w:val="nil"/>
              <w:bottom w:val="nil"/>
              <w:right w:val="nil"/>
            </w:tcBorders>
            <w:tcMar>
              <w:top w:w="0" w:type="dxa"/>
              <w:left w:w="0" w:type="dxa"/>
              <w:bottom w:w="0" w:type="dxa"/>
              <w:right w:w="0" w:type="dxa"/>
            </w:tcMar>
            <w:vAlign w:val="center"/>
          </w:tcPr>
          <w:p w14:paraId="6CB8A47F" w14:textId="77777777" w:rsidR="00340A38" w:rsidRDefault="00000000" w:rsidP="002030EC">
            <w:pPr>
              <w:spacing w:after="0"/>
              <w:jc w:val="center"/>
              <w:rPr>
                <w:sz w:val="18"/>
                <w:szCs w:val="18"/>
              </w:rPr>
            </w:pPr>
            <w:r>
              <w:rPr>
                <w:sz w:val="18"/>
                <w:szCs w:val="18"/>
              </w:rPr>
              <w:t>0.132</w:t>
            </w:r>
          </w:p>
        </w:tc>
        <w:tc>
          <w:tcPr>
            <w:tcW w:w="705" w:type="dxa"/>
            <w:tcBorders>
              <w:top w:val="nil"/>
              <w:left w:val="nil"/>
              <w:bottom w:val="nil"/>
              <w:right w:val="nil"/>
            </w:tcBorders>
            <w:tcMar>
              <w:top w:w="0" w:type="dxa"/>
              <w:left w:w="0" w:type="dxa"/>
              <w:bottom w:w="0" w:type="dxa"/>
              <w:right w:w="0" w:type="dxa"/>
            </w:tcMar>
            <w:vAlign w:val="center"/>
          </w:tcPr>
          <w:p w14:paraId="028B7EE5" w14:textId="77777777" w:rsidR="00340A38" w:rsidRDefault="00000000" w:rsidP="002030EC">
            <w:pPr>
              <w:spacing w:after="0"/>
              <w:jc w:val="center"/>
              <w:rPr>
                <w:sz w:val="18"/>
                <w:szCs w:val="18"/>
              </w:rPr>
            </w:pPr>
            <w:r>
              <w:rPr>
                <w:sz w:val="18"/>
                <w:szCs w:val="18"/>
              </w:rPr>
              <w:t>0.103</w:t>
            </w:r>
          </w:p>
        </w:tc>
        <w:tc>
          <w:tcPr>
            <w:tcW w:w="675" w:type="dxa"/>
            <w:tcBorders>
              <w:top w:val="nil"/>
              <w:left w:val="nil"/>
              <w:bottom w:val="nil"/>
              <w:right w:val="nil"/>
            </w:tcBorders>
            <w:tcMar>
              <w:top w:w="0" w:type="dxa"/>
              <w:left w:w="0" w:type="dxa"/>
              <w:bottom w:w="0" w:type="dxa"/>
              <w:right w:w="0" w:type="dxa"/>
            </w:tcMar>
            <w:vAlign w:val="center"/>
          </w:tcPr>
          <w:p w14:paraId="3C8FDA1A" w14:textId="77777777" w:rsidR="00340A38" w:rsidRDefault="00000000" w:rsidP="002030EC">
            <w:pPr>
              <w:spacing w:after="0"/>
              <w:jc w:val="center"/>
              <w:rPr>
                <w:sz w:val="18"/>
                <w:szCs w:val="18"/>
              </w:rPr>
            </w:pPr>
            <w:r>
              <w:rPr>
                <w:sz w:val="18"/>
                <w:szCs w:val="18"/>
              </w:rPr>
              <w:t>-0.443</w:t>
            </w:r>
          </w:p>
        </w:tc>
        <w:tc>
          <w:tcPr>
            <w:tcW w:w="675" w:type="dxa"/>
            <w:tcBorders>
              <w:top w:val="nil"/>
              <w:left w:val="nil"/>
              <w:bottom w:val="nil"/>
              <w:right w:val="nil"/>
            </w:tcBorders>
            <w:tcMar>
              <w:top w:w="0" w:type="dxa"/>
              <w:left w:w="0" w:type="dxa"/>
              <w:bottom w:w="0" w:type="dxa"/>
              <w:right w:w="0" w:type="dxa"/>
            </w:tcMar>
            <w:vAlign w:val="center"/>
          </w:tcPr>
          <w:p w14:paraId="75AEF927" w14:textId="77777777" w:rsidR="00340A38" w:rsidRDefault="00000000" w:rsidP="002030EC">
            <w:pPr>
              <w:spacing w:after="0"/>
              <w:jc w:val="center"/>
              <w:rPr>
                <w:sz w:val="18"/>
                <w:szCs w:val="18"/>
              </w:rPr>
            </w:pPr>
            <w:r>
              <w:rPr>
                <w:sz w:val="18"/>
                <w:szCs w:val="18"/>
              </w:rPr>
              <w:t>1.000</w:t>
            </w:r>
          </w:p>
        </w:tc>
        <w:tc>
          <w:tcPr>
            <w:tcW w:w="705" w:type="dxa"/>
            <w:tcBorders>
              <w:top w:val="nil"/>
              <w:left w:val="nil"/>
              <w:bottom w:val="nil"/>
              <w:right w:val="nil"/>
            </w:tcBorders>
            <w:tcMar>
              <w:top w:w="0" w:type="dxa"/>
              <w:left w:w="0" w:type="dxa"/>
              <w:bottom w:w="0" w:type="dxa"/>
              <w:right w:w="0" w:type="dxa"/>
            </w:tcMar>
            <w:vAlign w:val="center"/>
          </w:tcPr>
          <w:p w14:paraId="5499389D"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151DCB03" w14:textId="77777777" w:rsidR="00340A38" w:rsidRDefault="00340A38" w:rsidP="002030EC">
            <w:pPr>
              <w:spacing w:after="0"/>
              <w:jc w:val="center"/>
              <w:rPr>
                <w:sz w:val="18"/>
                <w:szCs w:val="18"/>
              </w:rPr>
            </w:pPr>
          </w:p>
        </w:tc>
        <w:tc>
          <w:tcPr>
            <w:tcW w:w="705" w:type="dxa"/>
            <w:tcBorders>
              <w:top w:val="nil"/>
              <w:left w:val="nil"/>
              <w:bottom w:val="nil"/>
              <w:right w:val="nil"/>
            </w:tcBorders>
            <w:tcMar>
              <w:top w:w="0" w:type="dxa"/>
              <w:left w:w="0" w:type="dxa"/>
              <w:bottom w:w="0" w:type="dxa"/>
              <w:right w:w="0" w:type="dxa"/>
            </w:tcMar>
            <w:vAlign w:val="center"/>
          </w:tcPr>
          <w:p w14:paraId="3301DBC0"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69582E4A" w14:textId="77777777" w:rsidR="00340A38" w:rsidRDefault="00340A38" w:rsidP="002030EC">
            <w:pPr>
              <w:spacing w:after="0"/>
              <w:jc w:val="center"/>
              <w:rPr>
                <w:sz w:val="18"/>
                <w:szCs w:val="18"/>
              </w:rPr>
            </w:pPr>
          </w:p>
        </w:tc>
        <w:tc>
          <w:tcPr>
            <w:tcW w:w="705" w:type="dxa"/>
            <w:tcBorders>
              <w:top w:val="nil"/>
              <w:left w:val="nil"/>
              <w:bottom w:val="nil"/>
              <w:right w:val="nil"/>
            </w:tcBorders>
            <w:tcMar>
              <w:top w:w="0" w:type="dxa"/>
              <w:left w:w="0" w:type="dxa"/>
              <w:bottom w:w="0" w:type="dxa"/>
              <w:right w:w="0" w:type="dxa"/>
            </w:tcMar>
            <w:vAlign w:val="center"/>
          </w:tcPr>
          <w:p w14:paraId="76F4A90B"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2305F4DF" w14:textId="77777777" w:rsidR="00340A38" w:rsidRDefault="00340A38" w:rsidP="002030EC">
            <w:pPr>
              <w:spacing w:after="0"/>
              <w:jc w:val="center"/>
              <w:rPr>
                <w:sz w:val="18"/>
                <w:szCs w:val="18"/>
              </w:rPr>
            </w:pPr>
          </w:p>
        </w:tc>
      </w:tr>
      <w:tr w:rsidR="00340A38" w14:paraId="0DC60882" w14:textId="77777777" w:rsidTr="002030EC">
        <w:tc>
          <w:tcPr>
            <w:tcW w:w="705" w:type="dxa"/>
            <w:tcBorders>
              <w:top w:val="nil"/>
              <w:left w:val="nil"/>
              <w:bottom w:val="nil"/>
              <w:right w:val="nil"/>
            </w:tcBorders>
            <w:tcMar>
              <w:top w:w="0" w:type="dxa"/>
              <w:left w:w="0" w:type="dxa"/>
              <w:bottom w:w="0" w:type="dxa"/>
              <w:right w:w="0" w:type="dxa"/>
            </w:tcMar>
            <w:vAlign w:val="center"/>
          </w:tcPr>
          <w:p w14:paraId="47F09B5F" w14:textId="77777777" w:rsidR="00340A38" w:rsidRDefault="00000000" w:rsidP="002030EC">
            <w:pPr>
              <w:spacing w:after="0"/>
              <w:jc w:val="center"/>
              <w:rPr>
                <w:b/>
                <w:sz w:val="18"/>
                <w:szCs w:val="18"/>
              </w:rPr>
            </w:pPr>
            <w:r>
              <w:rPr>
                <w:b/>
                <w:sz w:val="18"/>
                <w:szCs w:val="18"/>
              </w:rPr>
              <w:t>BSWP</w:t>
            </w:r>
          </w:p>
        </w:tc>
        <w:tc>
          <w:tcPr>
            <w:tcW w:w="705" w:type="dxa"/>
            <w:tcBorders>
              <w:top w:val="nil"/>
              <w:left w:val="nil"/>
              <w:bottom w:val="nil"/>
              <w:right w:val="nil"/>
            </w:tcBorders>
            <w:tcMar>
              <w:top w:w="0" w:type="dxa"/>
              <w:left w:w="0" w:type="dxa"/>
              <w:bottom w:w="0" w:type="dxa"/>
              <w:right w:w="0" w:type="dxa"/>
            </w:tcMar>
            <w:vAlign w:val="center"/>
          </w:tcPr>
          <w:p w14:paraId="7485590F" w14:textId="77777777" w:rsidR="00340A38" w:rsidRDefault="00000000" w:rsidP="002030EC">
            <w:pPr>
              <w:spacing w:after="0"/>
              <w:jc w:val="center"/>
              <w:rPr>
                <w:sz w:val="18"/>
                <w:szCs w:val="18"/>
              </w:rPr>
            </w:pPr>
            <w:r>
              <w:rPr>
                <w:sz w:val="18"/>
                <w:szCs w:val="18"/>
              </w:rPr>
              <w:t>-0.017</w:t>
            </w:r>
          </w:p>
        </w:tc>
        <w:tc>
          <w:tcPr>
            <w:tcW w:w="705" w:type="dxa"/>
            <w:tcBorders>
              <w:top w:val="nil"/>
              <w:left w:val="nil"/>
              <w:bottom w:val="nil"/>
              <w:right w:val="nil"/>
            </w:tcBorders>
            <w:tcMar>
              <w:top w:w="0" w:type="dxa"/>
              <w:left w:w="0" w:type="dxa"/>
              <w:bottom w:w="0" w:type="dxa"/>
              <w:right w:w="0" w:type="dxa"/>
            </w:tcMar>
            <w:vAlign w:val="center"/>
          </w:tcPr>
          <w:p w14:paraId="3AB69494" w14:textId="77777777" w:rsidR="00340A38" w:rsidRDefault="00000000" w:rsidP="002030EC">
            <w:pPr>
              <w:spacing w:after="0"/>
              <w:jc w:val="center"/>
              <w:rPr>
                <w:sz w:val="18"/>
                <w:szCs w:val="18"/>
              </w:rPr>
            </w:pPr>
            <w:r>
              <w:rPr>
                <w:sz w:val="18"/>
                <w:szCs w:val="18"/>
              </w:rPr>
              <w:t>0.097</w:t>
            </w:r>
          </w:p>
        </w:tc>
        <w:tc>
          <w:tcPr>
            <w:tcW w:w="705" w:type="dxa"/>
            <w:tcBorders>
              <w:top w:val="nil"/>
              <w:left w:val="nil"/>
              <w:bottom w:val="nil"/>
              <w:right w:val="nil"/>
            </w:tcBorders>
            <w:tcMar>
              <w:top w:w="0" w:type="dxa"/>
              <w:left w:w="0" w:type="dxa"/>
              <w:bottom w:w="0" w:type="dxa"/>
              <w:right w:w="0" w:type="dxa"/>
            </w:tcMar>
            <w:vAlign w:val="center"/>
          </w:tcPr>
          <w:p w14:paraId="096EBC79" w14:textId="77777777" w:rsidR="00340A38" w:rsidRDefault="00000000" w:rsidP="002030EC">
            <w:pPr>
              <w:spacing w:after="0"/>
              <w:jc w:val="center"/>
              <w:rPr>
                <w:sz w:val="18"/>
                <w:szCs w:val="18"/>
              </w:rPr>
            </w:pPr>
            <w:r>
              <w:rPr>
                <w:sz w:val="18"/>
                <w:szCs w:val="18"/>
              </w:rPr>
              <w:t>0.116</w:t>
            </w:r>
          </w:p>
        </w:tc>
        <w:tc>
          <w:tcPr>
            <w:tcW w:w="705" w:type="dxa"/>
            <w:tcBorders>
              <w:top w:val="nil"/>
              <w:left w:val="nil"/>
              <w:bottom w:val="nil"/>
              <w:right w:val="nil"/>
            </w:tcBorders>
            <w:tcMar>
              <w:top w:w="0" w:type="dxa"/>
              <w:left w:w="0" w:type="dxa"/>
              <w:bottom w:w="0" w:type="dxa"/>
              <w:right w:w="0" w:type="dxa"/>
            </w:tcMar>
            <w:vAlign w:val="center"/>
          </w:tcPr>
          <w:p w14:paraId="7841251A" w14:textId="77777777" w:rsidR="00340A38" w:rsidRDefault="00000000" w:rsidP="002030EC">
            <w:pPr>
              <w:spacing w:after="0"/>
              <w:jc w:val="center"/>
              <w:rPr>
                <w:sz w:val="18"/>
                <w:szCs w:val="18"/>
              </w:rPr>
            </w:pPr>
            <w:r>
              <w:rPr>
                <w:sz w:val="18"/>
                <w:szCs w:val="18"/>
              </w:rPr>
              <w:t>0.194</w:t>
            </w:r>
          </w:p>
        </w:tc>
        <w:tc>
          <w:tcPr>
            <w:tcW w:w="705" w:type="dxa"/>
            <w:tcBorders>
              <w:top w:val="nil"/>
              <w:left w:val="nil"/>
              <w:bottom w:val="nil"/>
              <w:right w:val="nil"/>
            </w:tcBorders>
            <w:tcMar>
              <w:top w:w="0" w:type="dxa"/>
              <w:left w:w="0" w:type="dxa"/>
              <w:bottom w:w="0" w:type="dxa"/>
              <w:right w:w="0" w:type="dxa"/>
            </w:tcMar>
            <w:vAlign w:val="center"/>
          </w:tcPr>
          <w:p w14:paraId="76394AA8" w14:textId="77777777" w:rsidR="00340A38" w:rsidRDefault="00000000" w:rsidP="002030EC">
            <w:pPr>
              <w:spacing w:after="0"/>
              <w:jc w:val="center"/>
              <w:rPr>
                <w:sz w:val="18"/>
                <w:szCs w:val="18"/>
              </w:rPr>
            </w:pPr>
            <w:r>
              <w:rPr>
                <w:sz w:val="18"/>
                <w:szCs w:val="18"/>
              </w:rPr>
              <w:t>0.598</w:t>
            </w:r>
          </w:p>
        </w:tc>
        <w:tc>
          <w:tcPr>
            <w:tcW w:w="675" w:type="dxa"/>
            <w:tcBorders>
              <w:top w:val="nil"/>
              <w:left w:val="nil"/>
              <w:bottom w:val="nil"/>
              <w:right w:val="nil"/>
            </w:tcBorders>
            <w:tcMar>
              <w:top w:w="0" w:type="dxa"/>
              <w:left w:w="0" w:type="dxa"/>
              <w:bottom w:w="0" w:type="dxa"/>
              <w:right w:w="0" w:type="dxa"/>
            </w:tcMar>
            <w:vAlign w:val="center"/>
          </w:tcPr>
          <w:p w14:paraId="0EF204BF" w14:textId="77777777" w:rsidR="00340A38" w:rsidRDefault="00000000" w:rsidP="002030EC">
            <w:pPr>
              <w:spacing w:after="0"/>
              <w:jc w:val="center"/>
              <w:rPr>
                <w:sz w:val="18"/>
                <w:szCs w:val="18"/>
              </w:rPr>
            </w:pPr>
            <w:r>
              <w:rPr>
                <w:sz w:val="18"/>
                <w:szCs w:val="18"/>
              </w:rPr>
              <w:t>-0.179</w:t>
            </w:r>
          </w:p>
        </w:tc>
        <w:tc>
          <w:tcPr>
            <w:tcW w:w="675" w:type="dxa"/>
            <w:tcBorders>
              <w:top w:val="nil"/>
              <w:left w:val="nil"/>
              <w:bottom w:val="nil"/>
              <w:right w:val="nil"/>
            </w:tcBorders>
            <w:tcMar>
              <w:top w:w="0" w:type="dxa"/>
              <w:left w:w="0" w:type="dxa"/>
              <w:bottom w:w="0" w:type="dxa"/>
              <w:right w:w="0" w:type="dxa"/>
            </w:tcMar>
            <w:vAlign w:val="center"/>
          </w:tcPr>
          <w:p w14:paraId="75ACD4A5" w14:textId="77777777" w:rsidR="00340A38" w:rsidRDefault="00000000" w:rsidP="002030EC">
            <w:pPr>
              <w:spacing w:after="0"/>
              <w:jc w:val="center"/>
              <w:rPr>
                <w:sz w:val="18"/>
                <w:szCs w:val="18"/>
              </w:rPr>
            </w:pPr>
            <w:r>
              <w:rPr>
                <w:sz w:val="18"/>
                <w:szCs w:val="18"/>
              </w:rPr>
              <w:t>0.052</w:t>
            </w:r>
          </w:p>
        </w:tc>
        <w:tc>
          <w:tcPr>
            <w:tcW w:w="705" w:type="dxa"/>
            <w:tcBorders>
              <w:top w:val="nil"/>
              <w:left w:val="nil"/>
              <w:bottom w:val="nil"/>
              <w:right w:val="nil"/>
            </w:tcBorders>
            <w:tcMar>
              <w:top w:w="0" w:type="dxa"/>
              <w:left w:w="0" w:type="dxa"/>
              <w:bottom w:w="0" w:type="dxa"/>
              <w:right w:w="0" w:type="dxa"/>
            </w:tcMar>
            <w:vAlign w:val="center"/>
          </w:tcPr>
          <w:p w14:paraId="0266C62A" w14:textId="77777777" w:rsidR="00340A38" w:rsidRDefault="00000000" w:rsidP="002030EC">
            <w:pPr>
              <w:spacing w:after="0"/>
              <w:jc w:val="center"/>
              <w:rPr>
                <w:sz w:val="18"/>
                <w:szCs w:val="18"/>
              </w:rPr>
            </w:pPr>
            <w:r>
              <w:rPr>
                <w:sz w:val="18"/>
                <w:szCs w:val="18"/>
              </w:rPr>
              <w:t>1.000</w:t>
            </w:r>
          </w:p>
        </w:tc>
        <w:tc>
          <w:tcPr>
            <w:tcW w:w="675" w:type="dxa"/>
            <w:tcBorders>
              <w:top w:val="nil"/>
              <w:left w:val="nil"/>
              <w:bottom w:val="nil"/>
              <w:right w:val="nil"/>
            </w:tcBorders>
            <w:tcMar>
              <w:top w:w="0" w:type="dxa"/>
              <w:left w:w="0" w:type="dxa"/>
              <w:bottom w:w="0" w:type="dxa"/>
              <w:right w:w="0" w:type="dxa"/>
            </w:tcMar>
            <w:vAlign w:val="center"/>
          </w:tcPr>
          <w:p w14:paraId="3BCCF547" w14:textId="77777777" w:rsidR="00340A38" w:rsidRDefault="00340A38" w:rsidP="002030EC">
            <w:pPr>
              <w:spacing w:after="0"/>
              <w:jc w:val="center"/>
              <w:rPr>
                <w:sz w:val="18"/>
                <w:szCs w:val="18"/>
              </w:rPr>
            </w:pPr>
          </w:p>
        </w:tc>
        <w:tc>
          <w:tcPr>
            <w:tcW w:w="705" w:type="dxa"/>
            <w:tcBorders>
              <w:top w:val="nil"/>
              <w:left w:val="nil"/>
              <w:bottom w:val="nil"/>
              <w:right w:val="nil"/>
            </w:tcBorders>
            <w:tcMar>
              <w:top w:w="0" w:type="dxa"/>
              <w:left w:w="0" w:type="dxa"/>
              <w:bottom w:w="0" w:type="dxa"/>
              <w:right w:w="0" w:type="dxa"/>
            </w:tcMar>
            <w:vAlign w:val="center"/>
          </w:tcPr>
          <w:p w14:paraId="40EA6B3A"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7C207705" w14:textId="77777777" w:rsidR="00340A38" w:rsidRDefault="00340A38" w:rsidP="002030EC">
            <w:pPr>
              <w:spacing w:after="0"/>
              <w:jc w:val="center"/>
              <w:rPr>
                <w:sz w:val="18"/>
                <w:szCs w:val="18"/>
              </w:rPr>
            </w:pPr>
          </w:p>
        </w:tc>
        <w:tc>
          <w:tcPr>
            <w:tcW w:w="705" w:type="dxa"/>
            <w:tcBorders>
              <w:top w:val="nil"/>
              <w:left w:val="nil"/>
              <w:bottom w:val="nil"/>
              <w:right w:val="nil"/>
            </w:tcBorders>
            <w:tcMar>
              <w:top w:w="0" w:type="dxa"/>
              <w:left w:w="0" w:type="dxa"/>
              <w:bottom w:w="0" w:type="dxa"/>
              <w:right w:w="0" w:type="dxa"/>
            </w:tcMar>
            <w:vAlign w:val="center"/>
          </w:tcPr>
          <w:p w14:paraId="0482EAB0"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2D721CC2" w14:textId="77777777" w:rsidR="00340A38" w:rsidRDefault="00340A38" w:rsidP="002030EC">
            <w:pPr>
              <w:spacing w:after="0"/>
              <w:jc w:val="center"/>
              <w:rPr>
                <w:sz w:val="18"/>
                <w:szCs w:val="18"/>
              </w:rPr>
            </w:pPr>
          </w:p>
        </w:tc>
      </w:tr>
      <w:tr w:rsidR="00340A38" w14:paraId="2B566398" w14:textId="77777777" w:rsidTr="002030EC">
        <w:trPr>
          <w:trHeight w:val="235"/>
        </w:trPr>
        <w:tc>
          <w:tcPr>
            <w:tcW w:w="705" w:type="dxa"/>
            <w:tcBorders>
              <w:top w:val="nil"/>
              <w:left w:val="nil"/>
              <w:bottom w:val="nil"/>
              <w:right w:val="nil"/>
            </w:tcBorders>
            <w:tcMar>
              <w:top w:w="0" w:type="dxa"/>
              <w:left w:w="0" w:type="dxa"/>
              <w:bottom w:w="0" w:type="dxa"/>
              <w:right w:w="0" w:type="dxa"/>
            </w:tcMar>
            <w:vAlign w:val="center"/>
          </w:tcPr>
          <w:p w14:paraId="01412864" w14:textId="77777777" w:rsidR="00340A38" w:rsidRDefault="00000000" w:rsidP="002030EC">
            <w:pPr>
              <w:spacing w:after="0"/>
              <w:jc w:val="center"/>
              <w:rPr>
                <w:b/>
                <w:sz w:val="18"/>
                <w:szCs w:val="18"/>
              </w:rPr>
            </w:pPr>
            <w:r>
              <w:rPr>
                <w:b/>
                <w:sz w:val="18"/>
                <w:szCs w:val="18"/>
              </w:rPr>
              <w:t>IACT</w:t>
            </w:r>
          </w:p>
        </w:tc>
        <w:tc>
          <w:tcPr>
            <w:tcW w:w="705" w:type="dxa"/>
            <w:tcBorders>
              <w:top w:val="nil"/>
              <w:left w:val="nil"/>
              <w:bottom w:val="nil"/>
              <w:right w:val="nil"/>
            </w:tcBorders>
            <w:tcMar>
              <w:top w:w="20" w:type="dxa"/>
              <w:left w:w="20" w:type="dxa"/>
              <w:bottom w:w="100" w:type="dxa"/>
              <w:right w:w="20" w:type="dxa"/>
            </w:tcMar>
            <w:vAlign w:val="center"/>
          </w:tcPr>
          <w:p w14:paraId="3BB72A8B" w14:textId="77777777" w:rsidR="00340A38" w:rsidRDefault="00000000" w:rsidP="002030EC">
            <w:pPr>
              <w:spacing w:after="0" w:line="240" w:lineRule="auto"/>
              <w:jc w:val="center"/>
              <w:rPr>
                <w:sz w:val="18"/>
                <w:szCs w:val="18"/>
              </w:rPr>
            </w:pPr>
            <w:r>
              <w:rPr>
                <w:sz w:val="18"/>
                <w:szCs w:val="18"/>
              </w:rPr>
              <w:t>-0.031</w:t>
            </w:r>
          </w:p>
        </w:tc>
        <w:tc>
          <w:tcPr>
            <w:tcW w:w="705" w:type="dxa"/>
            <w:tcBorders>
              <w:top w:val="nil"/>
              <w:left w:val="nil"/>
              <w:bottom w:val="nil"/>
              <w:right w:val="nil"/>
            </w:tcBorders>
            <w:tcMar>
              <w:top w:w="20" w:type="dxa"/>
              <w:left w:w="20" w:type="dxa"/>
              <w:bottom w:w="100" w:type="dxa"/>
              <w:right w:w="20" w:type="dxa"/>
            </w:tcMar>
            <w:vAlign w:val="center"/>
          </w:tcPr>
          <w:p w14:paraId="7CE7E265" w14:textId="77777777" w:rsidR="00340A38" w:rsidRDefault="00000000" w:rsidP="002030EC">
            <w:pPr>
              <w:spacing w:after="0" w:line="240" w:lineRule="auto"/>
              <w:jc w:val="center"/>
              <w:rPr>
                <w:sz w:val="18"/>
                <w:szCs w:val="18"/>
              </w:rPr>
            </w:pPr>
            <w:r>
              <w:rPr>
                <w:sz w:val="18"/>
                <w:szCs w:val="18"/>
              </w:rPr>
              <w:t>-0.045</w:t>
            </w:r>
          </w:p>
        </w:tc>
        <w:tc>
          <w:tcPr>
            <w:tcW w:w="705" w:type="dxa"/>
            <w:tcBorders>
              <w:top w:val="nil"/>
              <w:left w:val="nil"/>
              <w:bottom w:val="nil"/>
              <w:right w:val="nil"/>
            </w:tcBorders>
            <w:tcMar>
              <w:top w:w="20" w:type="dxa"/>
              <w:left w:w="20" w:type="dxa"/>
              <w:bottom w:w="100" w:type="dxa"/>
              <w:right w:w="20" w:type="dxa"/>
            </w:tcMar>
            <w:vAlign w:val="center"/>
          </w:tcPr>
          <w:p w14:paraId="66E5486E" w14:textId="77777777" w:rsidR="00340A38" w:rsidRDefault="00000000" w:rsidP="002030EC">
            <w:pPr>
              <w:spacing w:after="0" w:line="240" w:lineRule="auto"/>
              <w:jc w:val="center"/>
              <w:rPr>
                <w:sz w:val="18"/>
                <w:szCs w:val="18"/>
              </w:rPr>
            </w:pPr>
            <w:r>
              <w:rPr>
                <w:sz w:val="18"/>
                <w:szCs w:val="18"/>
              </w:rPr>
              <w:t>-0.061</w:t>
            </w:r>
          </w:p>
        </w:tc>
        <w:tc>
          <w:tcPr>
            <w:tcW w:w="705" w:type="dxa"/>
            <w:tcBorders>
              <w:top w:val="nil"/>
              <w:left w:val="nil"/>
              <w:bottom w:val="nil"/>
              <w:right w:val="nil"/>
            </w:tcBorders>
            <w:tcMar>
              <w:top w:w="20" w:type="dxa"/>
              <w:left w:w="20" w:type="dxa"/>
              <w:bottom w:w="100" w:type="dxa"/>
              <w:right w:w="20" w:type="dxa"/>
            </w:tcMar>
            <w:vAlign w:val="center"/>
          </w:tcPr>
          <w:p w14:paraId="05189B07" w14:textId="77777777" w:rsidR="00340A38" w:rsidRDefault="00000000" w:rsidP="002030EC">
            <w:pPr>
              <w:spacing w:after="0" w:line="240" w:lineRule="auto"/>
              <w:jc w:val="center"/>
              <w:rPr>
                <w:sz w:val="18"/>
                <w:szCs w:val="18"/>
              </w:rPr>
            </w:pPr>
            <w:r>
              <w:rPr>
                <w:sz w:val="18"/>
                <w:szCs w:val="18"/>
              </w:rPr>
              <w:t>-0.070</w:t>
            </w:r>
          </w:p>
        </w:tc>
        <w:tc>
          <w:tcPr>
            <w:tcW w:w="705" w:type="dxa"/>
            <w:tcBorders>
              <w:top w:val="nil"/>
              <w:left w:val="nil"/>
              <w:bottom w:val="nil"/>
              <w:right w:val="nil"/>
            </w:tcBorders>
            <w:tcMar>
              <w:top w:w="20" w:type="dxa"/>
              <w:left w:w="20" w:type="dxa"/>
              <w:bottom w:w="100" w:type="dxa"/>
              <w:right w:w="20" w:type="dxa"/>
            </w:tcMar>
            <w:vAlign w:val="center"/>
          </w:tcPr>
          <w:p w14:paraId="1C0000B6" w14:textId="77777777" w:rsidR="00340A38" w:rsidRDefault="00000000" w:rsidP="002030EC">
            <w:pPr>
              <w:spacing w:after="0" w:line="240" w:lineRule="auto"/>
              <w:jc w:val="center"/>
              <w:rPr>
                <w:sz w:val="18"/>
                <w:szCs w:val="18"/>
              </w:rPr>
            </w:pPr>
            <w:r>
              <w:rPr>
                <w:sz w:val="18"/>
                <w:szCs w:val="18"/>
              </w:rPr>
              <w:t>-0.119</w:t>
            </w:r>
          </w:p>
        </w:tc>
        <w:tc>
          <w:tcPr>
            <w:tcW w:w="675" w:type="dxa"/>
            <w:tcBorders>
              <w:top w:val="nil"/>
              <w:left w:val="nil"/>
              <w:bottom w:val="nil"/>
              <w:right w:val="nil"/>
            </w:tcBorders>
            <w:tcMar>
              <w:top w:w="20" w:type="dxa"/>
              <w:left w:w="20" w:type="dxa"/>
              <w:bottom w:w="100" w:type="dxa"/>
              <w:right w:w="20" w:type="dxa"/>
            </w:tcMar>
            <w:vAlign w:val="center"/>
          </w:tcPr>
          <w:p w14:paraId="4727FD30" w14:textId="77777777" w:rsidR="00340A38" w:rsidRDefault="00000000" w:rsidP="002030EC">
            <w:pPr>
              <w:spacing w:after="0" w:line="240" w:lineRule="auto"/>
              <w:jc w:val="center"/>
              <w:rPr>
                <w:sz w:val="18"/>
                <w:szCs w:val="18"/>
              </w:rPr>
            </w:pPr>
            <w:r>
              <w:rPr>
                <w:sz w:val="18"/>
                <w:szCs w:val="18"/>
              </w:rPr>
              <w:t>-0.052</w:t>
            </w:r>
          </w:p>
        </w:tc>
        <w:tc>
          <w:tcPr>
            <w:tcW w:w="675" w:type="dxa"/>
            <w:tcBorders>
              <w:top w:val="nil"/>
              <w:left w:val="nil"/>
              <w:bottom w:val="nil"/>
              <w:right w:val="nil"/>
            </w:tcBorders>
            <w:tcMar>
              <w:top w:w="20" w:type="dxa"/>
              <w:left w:w="20" w:type="dxa"/>
              <w:bottom w:w="100" w:type="dxa"/>
              <w:right w:w="20" w:type="dxa"/>
            </w:tcMar>
            <w:vAlign w:val="center"/>
          </w:tcPr>
          <w:p w14:paraId="642907AE" w14:textId="77777777" w:rsidR="00340A38" w:rsidRDefault="00000000" w:rsidP="002030EC">
            <w:pPr>
              <w:spacing w:after="0" w:line="240" w:lineRule="auto"/>
              <w:jc w:val="center"/>
              <w:rPr>
                <w:sz w:val="18"/>
                <w:szCs w:val="18"/>
              </w:rPr>
            </w:pPr>
            <w:r>
              <w:rPr>
                <w:sz w:val="18"/>
                <w:szCs w:val="18"/>
              </w:rPr>
              <w:t>-0.011</w:t>
            </w:r>
          </w:p>
        </w:tc>
        <w:tc>
          <w:tcPr>
            <w:tcW w:w="705" w:type="dxa"/>
            <w:tcBorders>
              <w:top w:val="nil"/>
              <w:left w:val="nil"/>
              <w:bottom w:val="nil"/>
              <w:right w:val="nil"/>
            </w:tcBorders>
            <w:tcMar>
              <w:top w:w="20" w:type="dxa"/>
              <w:left w:w="20" w:type="dxa"/>
              <w:bottom w:w="100" w:type="dxa"/>
              <w:right w:w="20" w:type="dxa"/>
            </w:tcMar>
            <w:vAlign w:val="center"/>
          </w:tcPr>
          <w:p w14:paraId="151897F9" w14:textId="77777777" w:rsidR="00340A38" w:rsidRDefault="00000000" w:rsidP="002030EC">
            <w:pPr>
              <w:spacing w:after="0" w:line="240" w:lineRule="auto"/>
              <w:jc w:val="center"/>
              <w:rPr>
                <w:sz w:val="18"/>
                <w:szCs w:val="18"/>
              </w:rPr>
            </w:pPr>
            <w:r>
              <w:rPr>
                <w:sz w:val="18"/>
                <w:szCs w:val="18"/>
              </w:rPr>
              <w:t>-0.147</w:t>
            </w:r>
          </w:p>
        </w:tc>
        <w:tc>
          <w:tcPr>
            <w:tcW w:w="675" w:type="dxa"/>
            <w:tcBorders>
              <w:top w:val="nil"/>
              <w:left w:val="nil"/>
              <w:bottom w:val="nil"/>
              <w:right w:val="nil"/>
            </w:tcBorders>
            <w:tcMar>
              <w:top w:w="20" w:type="dxa"/>
              <w:left w:w="20" w:type="dxa"/>
              <w:bottom w:w="100" w:type="dxa"/>
              <w:right w:w="20" w:type="dxa"/>
            </w:tcMar>
            <w:vAlign w:val="center"/>
          </w:tcPr>
          <w:p w14:paraId="6B8AE54D" w14:textId="77777777" w:rsidR="00340A38" w:rsidRDefault="00000000" w:rsidP="002030EC">
            <w:pPr>
              <w:spacing w:after="0" w:line="240" w:lineRule="auto"/>
              <w:jc w:val="center"/>
              <w:rPr>
                <w:sz w:val="18"/>
                <w:szCs w:val="18"/>
              </w:rPr>
            </w:pPr>
            <w:r>
              <w:rPr>
                <w:sz w:val="18"/>
                <w:szCs w:val="18"/>
              </w:rPr>
              <w:t>1.000</w:t>
            </w:r>
          </w:p>
        </w:tc>
        <w:tc>
          <w:tcPr>
            <w:tcW w:w="705" w:type="dxa"/>
            <w:tcBorders>
              <w:top w:val="nil"/>
              <w:left w:val="nil"/>
              <w:bottom w:val="nil"/>
              <w:right w:val="nil"/>
            </w:tcBorders>
            <w:tcMar>
              <w:top w:w="0" w:type="dxa"/>
              <w:left w:w="0" w:type="dxa"/>
              <w:bottom w:w="0" w:type="dxa"/>
              <w:right w:w="0" w:type="dxa"/>
            </w:tcMar>
            <w:vAlign w:val="center"/>
          </w:tcPr>
          <w:p w14:paraId="4A8B9D81"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6926324E" w14:textId="77777777" w:rsidR="00340A38" w:rsidRDefault="00340A38" w:rsidP="002030EC">
            <w:pPr>
              <w:spacing w:after="0"/>
              <w:jc w:val="center"/>
              <w:rPr>
                <w:sz w:val="18"/>
                <w:szCs w:val="18"/>
              </w:rPr>
            </w:pPr>
          </w:p>
        </w:tc>
        <w:tc>
          <w:tcPr>
            <w:tcW w:w="705" w:type="dxa"/>
            <w:tcBorders>
              <w:top w:val="nil"/>
              <w:left w:val="nil"/>
              <w:bottom w:val="nil"/>
              <w:right w:val="nil"/>
            </w:tcBorders>
            <w:tcMar>
              <w:top w:w="0" w:type="dxa"/>
              <w:left w:w="0" w:type="dxa"/>
              <w:bottom w:w="0" w:type="dxa"/>
              <w:right w:w="0" w:type="dxa"/>
            </w:tcMar>
            <w:vAlign w:val="center"/>
          </w:tcPr>
          <w:p w14:paraId="7964CF5F"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2B746513" w14:textId="77777777" w:rsidR="00340A38" w:rsidRDefault="00340A38" w:rsidP="002030EC">
            <w:pPr>
              <w:spacing w:after="0"/>
              <w:jc w:val="center"/>
              <w:rPr>
                <w:sz w:val="18"/>
                <w:szCs w:val="18"/>
              </w:rPr>
            </w:pPr>
          </w:p>
        </w:tc>
      </w:tr>
      <w:tr w:rsidR="00340A38" w14:paraId="291D5C02" w14:textId="77777777" w:rsidTr="002030EC">
        <w:tc>
          <w:tcPr>
            <w:tcW w:w="705" w:type="dxa"/>
            <w:tcBorders>
              <w:top w:val="nil"/>
              <w:left w:val="nil"/>
              <w:bottom w:val="nil"/>
              <w:right w:val="nil"/>
            </w:tcBorders>
            <w:tcMar>
              <w:top w:w="0" w:type="dxa"/>
              <w:left w:w="0" w:type="dxa"/>
              <w:bottom w:w="0" w:type="dxa"/>
              <w:right w:w="0" w:type="dxa"/>
            </w:tcMar>
            <w:vAlign w:val="center"/>
          </w:tcPr>
          <w:p w14:paraId="2C3781F5" w14:textId="77777777" w:rsidR="00340A38" w:rsidRDefault="00000000" w:rsidP="002030EC">
            <w:pPr>
              <w:spacing w:after="0"/>
              <w:jc w:val="center"/>
              <w:rPr>
                <w:b/>
                <w:sz w:val="18"/>
                <w:szCs w:val="18"/>
              </w:rPr>
            </w:pPr>
            <w:r>
              <w:rPr>
                <w:b/>
                <w:sz w:val="18"/>
                <w:szCs w:val="18"/>
              </w:rPr>
              <w:t>SIZE</w:t>
            </w:r>
          </w:p>
        </w:tc>
        <w:tc>
          <w:tcPr>
            <w:tcW w:w="705" w:type="dxa"/>
            <w:tcBorders>
              <w:top w:val="nil"/>
              <w:left w:val="nil"/>
              <w:bottom w:val="nil"/>
              <w:right w:val="nil"/>
            </w:tcBorders>
            <w:tcMar>
              <w:top w:w="0" w:type="dxa"/>
              <w:left w:w="0" w:type="dxa"/>
              <w:bottom w:w="0" w:type="dxa"/>
              <w:right w:w="0" w:type="dxa"/>
            </w:tcMar>
            <w:vAlign w:val="center"/>
          </w:tcPr>
          <w:p w14:paraId="68814F45" w14:textId="77777777" w:rsidR="00340A38" w:rsidRDefault="00000000" w:rsidP="002030EC">
            <w:pPr>
              <w:spacing w:after="0"/>
              <w:jc w:val="center"/>
              <w:rPr>
                <w:sz w:val="18"/>
                <w:szCs w:val="18"/>
              </w:rPr>
            </w:pPr>
            <w:r>
              <w:rPr>
                <w:sz w:val="18"/>
                <w:szCs w:val="18"/>
              </w:rPr>
              <w:t>0.114</w:t>
            </w:r>
          </w:p>
        </w:tc>
        <w:tc>
          <w:tcPr>
            <w:tcW w:w="705" w:type="dxa"/>
            <w:tcBorders>
              <w:top w:val="nil"/>
              <w:left w:val="nil"/>
              <w:bottom w:val="nil"/>
              <w:right w:val="nil"/>
            </w:tcBorders>
            <w:tcMar>
              <w:top w:w="0" w:type="dxa"/>
              <w:left w:w="0" w:type="dxa"/>
              <w:bottom w:w="0" w:type="dxa"/>
              <w:right w:w="0" w:type="dxa"/>
            </w:tcMar>
            <w:vAlign w:val="center"/>
          </w:tcPr>
          <w:p w14:paraId="43CAFDE8" w14:textId="77777777" w:rsidR="00340A38" w:rsidRDefault="00000000" w:rsidP="002030EC">
            <w:pPr>
              <w:spacing w:after="0"/>
              <w:jc w:val="center"/>
              <w:rPr>
                <w:sz w:val="18"/>
                <w:szCs w:val="18"/>
              </w:rPr>
            </w:pPr>
            <w:r>
              <w:rPr>
                <w:sz w:val="18"/>
                <w:szCs w:val="18"/>
              </w:rPr>
              <w:t>0.012</w:t>
            </w:r>
          </w:p>
        </w:tc>
        <w:tc>
          <w:tcPr>
            <w:tcW w:w="705" w:type="dxa"/>
            <w:tcBorders>
              <w:top w:val="nil"/>
              <w:left w:val="nil"/>
              <w:bottom w:val="nil"/>
              <w:right w:val="nil"/>
            </w:tcBorders>
            <w:tcMar>
              <w:top w:w="0" w:type="dxa"/>
              <w:left w:w="0" w:type="dxa"/>
              <w:bottom w:w="0" w:type="dxa"/>
              <w:right w:w="0" w:type="dxa"/>
            </w:tcMar>
            <w:vAlign w:val="center"/>
          </w:tcPr>
          <w:p w14:paraId="5D7B8013" w14:textId="77777777" w:rsidR="00340A38" w:rsidRDefault="00000000" w:rsidP="002030EC">
            <w:pPr>
              <w:spacing w:after="0"/>
              <w:jc w:val="center"/>
              <w:rPr>
                <w:sz w:val="18"/>
                <w:szCs w:val="18"/>
              </w:rPr>
            </w:pPr>
            <w:r>
              <w:rPr>
                <w:sz w:val="18"/>
                <w:szCs w:val="18"/>
              </w:rPr>
              <w:t>-0.007</w:t>
            </w:r>
          </w:p>
        </w:tc>
        <w:tc>
          <w:tcPr>
            <w:tcW w:w="705" w:type="dxa"/>
            <w:tcBorders>
              <w:top w:val="nil"/>
              <w:left w:val="nil"/>
              <w:bottom w:val="nil"/>
              <w:right w:val="nil"/>
            </w:tcBorders>
            <w:tcMar>
              <w:top w:w="0" w:type="dxa"/>
              <w:left w:w="0" w:type="dxa"/>
              <w:bottom w:w="0" w:type="dxa"/>
              <w:right w:w="0" w:type="dxa"/>
            </w:tcMar>
            <w:vAlign w:val="center"/>
          </w:tcPr>
          <w:p w14:paraId="65ED4E17" w14:textId="77777777" w:rsidR="00340A38" w:rsidRDefault="00000000" w:rsidP="002030EC">
            <w:pPr>
              <w:spacing w:after="0"/>
              <w:jc w:val="center"/>
              <w:rPr>
                <w:sz w:val="18"/>
                <w:szCs w:val="18"/>
              </w:rPr>
            </w:pPr>
            <w:r>
              <w:rPr>
                <w:sz w:val="18"/>
                <w:szCs w:val="18"/>
              </w:rPr>
              <w:t>-0.088</w:t>
            </w:r>
          </w:p>
        </w:tc>
        <w:tc>
          <w:tcPr>
            <w:tcW w:w="705" w:type="dxa"/>
            <w:tcBorders>
              <w:top w:val="nil"/>
              <w:left w:val="nil"/>
              <w:bottom w:val="nil"/>
              <w:right w:val="nil"/>
            </w:tcBorders>
            <w:tcMar>
              <w:top w:w="0" w:type="dxa"/>
              <w:left w:w="0" w:type="dxa"/>
              <w:bottom w:w="0" w:type="dxa"/>
              <w:right w:w="0" w:type="dxa"/>
            </w:tcMar>
            <w:vAlign w:val="center"/>
          </w:tcPr>
          <w:p w14:paraId="5BD9A57D" w14:textId="77777777" w:rsidR="00340A38" w:rsidRDefault="00000000" w:rsidP="002030EC">
            <w:pPr>
              <w:spacing w:after="0"/>
              <w:jc w:val="center"/>
              <w:rPr>
                <w:sz w:val="18"/>
                <w:szCs w:val="18"/>
              </w:rPr>
            </w:pPr>
            <w:r>
              <w:rPr>
                <w:sz w:val="18"/>
                <w:szCs w:val="18"/>
              </w:rPr>
              <w:t>-0.203</w:t>
            </w:r>
          </w:p>
        </w:tc>
        <w:tc>
          <w:tcPr>
            <w:tcW w:w="675" w:type="dxa"/>
            <w:tcBorders>
              <w:top w:val="nil"/>
              <w:left w:val="nil"/>
              <w:bottom w:val="nil"/>
              <w:right w:val="nil"/>
            </w:tcBorders>
            <w:tcMar>
              <w:top w:w="0" w:type="dxa"/>
              <w:left w:w="0" w:type="dxa"/>
              <w:bottom w:w="0" w:type="dxa"/>
              <w:right w:w="0" w:type="dxa"/>
            </w:tcMar>
            <w:vAlign w:val="center"/>
          </w:tcPr>
          <w:p w14:paraId="47AEA425" w14:textId="77777777" w:rsidR="00340A38" w:rsidRDefault="00000000" w:rsidP="002030EC">
            <w:pPr>
              <w:spacing w:after="0"/>
              <w:jc w:val="center"/>
              <w:rPr>
                <w:sz w:val="18"/>
                <w:szCs w:val="18"/>
              </w:rPr>
            </w:pPr>
            <w:r>
              <w:rPr>
                <w:sz w:val="18"/>
                <w:szCs w:val="18"/>
              </w:rPr>
              <w:t>0.250</w:t>
            </w:r>
          </w:p>
        </w:tc>
        <w:tc>
          <w:tcPr>
            <w:tcW w:w="675" w:type="dxa"/>
            <w:tcBorders>
              <w:top w:val="nil"/>
              <w:left w:val="nil"/>
              <w:bottom w:val="nil"/>
              <w:right w:val="nil"/>
            </w:tcBorders>
            <w:tcMar>
              <w:top w:w="0" w:type="dxa"/>
              <w:left w:w="0" w:type="dxa"/>
              <w:bottom w:w="0" w:type="dxa"/>
              <w:right w:w="0" w:type="dxa"/>
            </w:tcMar>
            <w:vAlign w:val="center"/>
          </w:tcPr>
          <w:p w14:paraId="11DC0353" w14:textId="77777777" w:rsidR="00340A38" w:rsidRDefault="00000000" w:rsidP="002030EC">
            <w:pPr>
              <w:spacing w:after="0"/>
              <w:jc w:val="center"/>
              <w:rPr>
                <w:sz w:val="18"/>
                <w:szCs w:val="18"/>
              </w:rPr>
            </w:pPr>
            <w:r>
              <w:rPr>
                <w:sz w:val="18"/>
                <w:szCs w:val="18"/>
              </w:rPr>
              <w:t>0.089</w:t>
            </w:r>
          </w:p>
        </w:tc>
        <w:tc>
          <w:tcPr>
            <w:tcW w:w="705" w:type="dxa"/>
            <w:tcBorders>
              <w:top w:val="nil"/>
              <w:left w:val="nil"/>
              <w:bottom w:val="nil"/>
              <w:right w:val="nil"/>
            </w:tcBorders>
            <w:tcMar>
              <w:top w:w="0" w:type="dxa"/>
              <w:left w:w="0" w:type="dxa"/>
              <w:bottom w:w="0" w:type="dxa"/>
              <w:right w:w="0" w:type="dxa"/>
            </w:tcMar>
            <w:vAlign w:val="center"/>
          </w:tcPr>
          <w:p w14:paraId="40783F80" w14:textId="77777777" w:rsidR="00340A38" w:rsidRDefault="00000000" w:rsidP="002030EC">
            <w:pPr>
              <w:spacing w:after="0"/>
              <w:jc w:val="center"/>
              <w:rPr>
                <w:sz w:val="18"/>
                <w:szCs w:val="18"/>
              </w:rPr>
            </w:pPr>
            <w:r>
              <w:rPr>
                <w:sz w:val="18"/>
                <w:szCs w:val="18"/>
              </w:rPr>
              <w:t>-0.257</w:t>
            </w:r>
          </w:p>
        </w:tc>
        <w:tc>
          <w:tcPr>
            <w:tcW w:w="675" w:type="dxa"/>
            <w:tcBorders>
              <w:top w:val="nil"/>
              <w:left w:val="nil"/>
              <w:bottom w:val="nil"/>
              <w:right w:val="nil"/>
            </w:tcBorders>
            <w:tcMar>
              <w:top w:w="0" w:type="dxa"/>
              <w:left w:w="0" w:type="dxa"/>
              <w:bottom w:w="0" w:type="dxa"/>
              <w:right w:w="0" w:type="dxa"/>
            </w:tcMar>
            <w:vAlign w:val="center"/>
          </w:tcPr>
          <w:p w14:paraId="6028DBC1" w14:textId="77777777" w:rsidR="00340A38" w:rsidRDefault="00000000" w:rsidP="002030EC">
            <w:pPr>
              <w:spacing w:after="0"/>
              <w:jc w:val="center"/>
              <w:rPr>
                <w:sz w:val="18"/>
                <w:szCs w:val="18"/>
              </w:rPr>
            </w:pPr>
            <w:r>
              <w:rPr>
                <w:sz w:val="18"/>
                <w:szCs w:val="18"/>
              </w:rPr>
              <w:t>0.072</w:t>
            </w:r>
          </w:p>
        </w:tc>
        <w:tc>
          <w:tcPr>
            <w:tcW w:w="705" w:type="dxa"/>
            <w:tcBorders>
              <w:top w:val="nil"/>
              <w:left w:val="nil"/>
              <w:bottom w:val="nil"/>
              <w:right w:val="nil"/>
            </w:tcBorders>
            <w:tcMar>
              <w:top w:w="0" w:type="dxa"/>
              <w:left w:w="0" w:type="dxa"/>
              <w:bottom w:w="0" w:type="dxa"/>
              <w:right w:w="0" w:type="dxa"/>
            </w:tcMar>
            <w:vAlign w:val="center"/>
          </w:tcPr>
          <w:p w14:paraId="1A83552E" w14:textId="77777777" w:rsidR="00340A38" w:rsidRDefault="00000000" w:rsidP="002030EC">
            <w:pPr>
              <w:spacing w:after="0"/>
              <w:jc w:val="center"/>
              <w:rPr>
                <w:sz w:val="18"/>
                <w:szCs w:val="18"/>
              </w:rPr>
            </w:pPr>
            <w:r>
              <w:rPr>
                <w:sz w:val="18"/>
                <w:szCs w:val="18"/>
              </w:rPr>
              <w:t>1.000</w:t>
            </w:r>
          </w:p>
        </w:tc>
        <w:tc>
          <w:tcPr>
            <w:tcW w:w="675" w:type="dxa"/>
            <w:tcBorders>
              <w:top w:val="nil"/>
              <w:left w:val="nil"/>
              <w:bottom w:val="nil"/>
              <w:right w:val="nil"/>
            </w:tcBorders>
            <w:tcMar>
              <w:top w:w="0" w:type="dxa"/>
              <w:left w:w="0" w:type="dxa"/>
              <w:bottom w:w="0" w:type="dxa"/>
              <w:right w:w="0" w:type="dxa"/>
            </w:tcMar>
            <w:vAlign w:val="center"/>
          </w:tcPr>
          <w:p w14:paraId="3B6785ED" w14:textId="77777777" w:rsidR="00340A38" w:rsidRDefault="00340A38" w:rsidP="002030EC">
            <w:pPr>
              <w:spacing w:after="0"/>
              <w:jc w:val="center"/>
              <w:rPr>
                <w:sz w:val="18"/>
                <w:szCs w:val="18"/>
              </w:rPr>
            </w:pPr>
          </w:p>
        </w:tc>
        <w:tc>
          <w:tcPr>
            <w:tcW w:w="705" w:type="dxa"/>
            <w:tcBorders>
              <w:top w:val="nil"/>
              <w:left w:val="nil"/>
              <w:bottom w:val="nil"/>
              <w:right w:val="nil"/>
            </w:tcBorders>
            <w:tcMar>
              <w:top w:w="0" w:type="dxa"/>
              <w:left w:w="0" w:type="dxa"/>
              <w:bottom w:w="0" w:type="dxa"/>
              <w:right w:w="0" w:type="dxa"/>
            </w:tcMar>
            <w:vAlign w:val="center"/>
          </w:tcPr>
          <w:p w14:paraId="0D89A221"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741D74F9" w14:textId="77777777" w:rsidR="00340A38" w:rsidRDefault="00340A38" w:rsidP="002030EC">
            <w:pPr>
              <w:spacing w:after="0"/>
              <w:jc w:val="center"/>
              <w:rPr>
                <w:sz w:val="18"/>
                <w:szCs w:val="18"/>
              </w:rPr>
            </w:pPr>
          </w:p>
        </w:tc>
      </w:tr>
      <w:tr w:rsidR="00340A38" w14:paraId="5E038E68" w14:textId="77777777" w:rsidTr="002030EC">
        <w:tc>
          <w:tcPr>
            <w:tcW w:w="705" w:type="dxa"/>
            <w:tcBorders>
              <w:top w:val="nil"/>
              <w:left w:val="nil"/>
              <w:bottom w:val="nil"/>
              <w:right w:val="nil"/>
            </w:tcBorders>
            <w:tcMar>
              <w:top w:w="0" w:type="dxa"/>
              <w:left w:w="0" w:type="dxa"/>
              <w:bottom w:w="0" w:type="dxa"/>
              <w:right w:w="0" w:type="dxa"/>
            </w:tcMar>
            <w:vAlign w:val="center"/>
          </w:tcPr>
          <w:p w14:paraId="665F939D" w14:textId="77777777" w:rsidR="00340A38" w:rsidRDefault="00000000" w:rsidP="002030EC">
            <w:pPr>
              <w:spacing w:after="0"/>
              <w:jc w:val="center"/>
              <w:rPr>
                <w:b/>
                <w:sz w:val="18"/>
                <w:szCs w:val="18"/>
              </w:rPr>
            </w:pPr>
            <w:r>
              <w:rPr>
                <w:b/>
                <w:sz w:val="18"/>
                <w:szCs w:val="18"/>
              </w:rPr>
              <w:t>ROA</w:t>
            </w:r>
          </w:p>
        </w:tc>
        <w:tc>
          <w:tcPr>
            <w:tcW w:w="705" w:type="dxa"/>
            <w:tcBorders>
              <w:top w:val="nil"/>
              <w:left w:val="nil"/>
              <w:bottom w:val="nil"/>
              <w:right w:val="nil"/>
            </w:tcBorders>
            <w:tcMar>
              <w:top w:w="0" w:type="dxa"/>
              <w:left w:w="0" w:type="dxa"/>
              <w:bottom w:w="0" w:type="dxa"/>
              <w:right w:w="0" w:type="dxa"/>
            </w:tcMar>
            <w:vAlign w:val="center"/>
          </w:tcPr>
          <w:p w14:paraId="7BAED489" w14:textId="77777777" w:rsidR="00340A38" w:rsidRDefault="00000000" w:rsidP="002030EC">
            <w:pPr>
              <w:spacing w:after="0"/>
              <w:jc w:val="center"/>
              <w:rPr>
                <w:sz w:val="18"/>
                <w:szCs w:val="18"/>
              </w:rPr>
            </w:pPr>
            <w:r>
              <w:rPr>
                <w:sz w:val="18"/>
                <w:szCs w:val="18"/>
              </w:rPr>
              <w:t>0.011</w:t>
            </w:r>
          </w:p>
        </w:tc>
        <w:tc>
          <w:tcPr>
            <w:tcW w:w="705" w:type="dxa"/>
            <w:tcBorders>
              <w:top w:val="nil"/>
              <w:left w:val="nil"/>
              <w:bottom w:val="nil"/>
              <w:right w:val="nil"/>
            </w:tcBorders>
            <w:tcMar>
              <w:top w:w="0" w:type="dxa"/>
              <w:left w:w="0" w:type="dxa"/>
              <w:bottom w:w="0" w:type="dxa"/>
              <w:right w:w="0" w:type="dxa"/>
            </w:tcMar>
            <w:vAlign w:val="center"/>
          </w:tcPr>
          <w:p w14:paraId="7D1C7830" w14:textId="77777777" w:rsidR="00340A38" w:rsidRDefault="00000000" w:rsidP="002030EC">
            <w:pPr>
              <w:spacing w:after="0"/>
              <w:jc w:val="center"/>
              <w:rPr>
                <w:sz w:val="18"/>
                <w:szCs w:val="18"/>
              </w:rPr>
            </w:pPr>
            <w:r>
              <w:rPr>
                <w:sz w:val="18"/>
                <w:szCs w:val="18"/>
              </w:rPr>
              <w:t>0.027</w:t>
            </w:r>
          </w:p>
        </w:tc>
        <w:tc>
          <w:tcPr>
            <w:tcW w:w="705" w:type="dxa"/>
            <w:tcBorders>
              <w:top w:val="nil"/>
              <w:left w:val="nil"/>
              <w:bottom w:val="nil"/>
              <w:right w:val="nil"/>
            </w:tcBorders>
            <w:tcMar>
              <w:top w:w="0" w:type="dxa"/>
              <w:left w:w="0" w:type="dxa"/>
              <w:bottom w:w="0" w:type="dxa"/>
              <w:right w:w="0" w:type="dxa"/>
            </w:tcMar>
            <w:vAlign w:val="center"/>
          </w:tcPr>
          <w:p w14:paraId="483BC358" w14:textId="77777777" w:rsidR="00340A38" w:rsidRDefault="00000000" w:rsidP="002030EC">
            <w:pPr>
              <w:spacing w:after="0"/>
              <w:jc w:val="center"/>
              <w:rPr>
                <w:sz w:val="18"/>
                <w:szCs w:val="18"/>
              </w:rPr>
            </w:pPr>
            <w:r>
              <w:rPr>
                <w:sz w:val="18"/>
                <w:szCs w:val="18"/>
              </w:rPr>
              <w:t>0.050</w:t>
            </w:r>
          </w:p>
        </w:tc>
        <w:tc>
          <w:tcPr>
            <w:tcW w:w="705" w:type="dxa"/>
            <w:tcBorders>
              <w:top w:val="nil"/>
              <w:left w:val="nil"/>
              <w:bottom w:val="nil"/>
              <w:right w:val="nil"/>
            </w:tcBorders>
            <w:tcMar>
              <w:top w:w="0" w:type="dxa"/>
              <w:left w:w="0" w:type="dxa"/>
              <w:bottom w:w="0" w:type="dxa"/>
              <w:right w:w="0" w:type="dxa"/>
            </w:tcMar>
            <w:vAlign w:val="center"/>
          </w:tcPr>
          <w:p w14:paraId="37C1F530" w14:textId="77777777" w:rsidR="00340A38" w:rsidRDefault="00000000" w:rsidP="002030EC">
            <w:pPr>
              <w:spacing w:after="0"/>
              <w:jc w:val="center"/>
              <w:rPr>
                <w:sz w:val="18"/>
                <w:szCs w:val="18"/>
              </w:rPr>
            </w:pPr>
            <w:r>
              <w:rPr>
                <w:sz w:val="18"/>
                <w:szCs w:val="18"/>
              </w:rPr>
              <w:t>0.027</w:t>
            </w:r>
          </w:p>
        </w:tc>
        <w:tc>
          <w:tcPr>
            <w:tcW w:w="705" w:type="dxa"/>
            <w:tcBorders>
              <w:top w:val="nil"/>
              <w:left w:val="nil"/>
              <w:bottom w:val="nil"/>
              <w:right w:val="nil"/>
            </w:tcBorders>
            <w:tcMar>
              <w:top w:w="0" w:type="dxa"/>
              <w:left w:w="0" w:type="dxa"/>
              <w:bottom w:w="0" w:type="dxa"/>
              <w:right w:w="0" w:type="dxa"/>
            </w:tcMar>
            <w:vAlign w:val="center"/>
          </w:tcPr>
          <w:p w14:paraId="26E813B2" w14:textId="77777777" w:rsidR="00340A38" w:rsidRDefault="00000000" w:rsidP="002030EC">
            <w:pPr>
              <w:spacing w:after="0"/>
              <w:jc w:val="center"/>
              <w:rPr>
                <w:sz w:val="18"/>
                <w:szCs w:val="18"/>
              </w:rPr>
            </w:pPr>
            <w:r>
              <w:rPr>
                <w:sz w:val="18"/>
                <w:szCs w:val="18"/>
              </w:rPr>
              <w:t>0.023</w:t>
            </w:r>
          </w:p>
        </w:tc>
        <w:tc>
          <w:tcPr>
            <w:tcW w:w="675" w:type="dxa"/>
            <w:tcBorders>
              <w:top w:val="nil"/>
              <w:left w:val="nil"/>
              <w:bottom w:val="nil"/>
              <w:right w:val="nil"/>
            </w:tcBorders>
            <w:tcMar>
              <w:top w:w="0" w:type="dxa"/>
              <w:left w:w="0" w:type="dxa"/>
              <w:bottom w:w="0" w:type="dxa"/>
              <w:right w:w="0" w:type="dxa"/>
            </w:tcMar>
            <w:vAlign w:val="center"/>
          </w:tcPr>
          <w:p w14:paraId="304864AA" w14:textId="77777777" w:rsidR="00340A38" w:rsidRDefault="00000000" w:rsidP="002030EC">
            <w:pPr>
              <w:spacing w:after="0"/>
              <w:jc w:val="center"/>
              <w:rPr>
                <w:sz w:val="18"/>
                <w:szCs w:val="18"/>
              </w:rPr>
            </w:pPr>
            <w:r>
              <w:rPr>
                <w:sz w:val="18"/>
                <w:szCs w:val="18"/>
              </w:rPr>
              <w:t>0.016</w:t>
            </w:r>
          </w:p>
        </w:tc>
        <w:tc>
          <w:tcPr>
            <w:tcW w:w="675" w:type="dxa"/>
            <w:tcBorders>
              <w:top w:val="nil"/>
              <w:left w:val="nil"/>
              <w:bottom w:val="nil"/>
              <w:right w:val="nil"/>
            </w:tcBorders>
            <w:tcMar>
              <w:top w:w="0" w:type="dxa"/>
              <w:left w:w="0" w:type="dxa"/>
              <w:bottom w:w="0" w:type="dxa"/>
              <w:right w:w="0" w:type="dxa"/>
            </w:tcMar>
            <w:vAlign w:val="center"/>
          </w:tcPr>
          <w:p w14:paraId="644A8ECB" w14:textId="77777777" w:rsidR="00340A38" w:rsidRDefault="00000000" w:rsidP="002030EC">
            <w:pPr>
              <w:spacing w:after="0"/>
              <w:jc w:val="center"/>
              <w:rPr>
                <w:sz w:val="18"/>
                <w:szCs w:val="18"/>
              </w:rPr>
            </w:pPr>
            <w:r>
              <w:rPr>
                <w:sz w:val="18"/>
                <w:szCs w:val="18"/>
              </w:rPr>
              <w:t>-0.007</w:t>
            </w:r>
          </w:p>
        </w:tc>
        <w:tc>
          <w:tcPr>
            <w:tcW w:w="705" w:type="dxa"/>
            <w:tcBorders>
              <w:top w:val="nil"/>
              <w:left w:val="nil"/>
              <w:bottom w:val="nil"/>
              <w:right w:val="nil"/>
            </w:tcBorders>
            <w:tcMar>
              <w:top w:w="0" w:type="dxa"/>
              <w:left w:w="0" w:type="dxa"/>
              <w:bottom w:w="0" w:type="dxa"/>
              <w:right w:w="0" w:type="dxa"/>
            </w:tcMar>
            <w:vAlign w:val="center"/>
          </w:tcPr>
          <w:p w14:paraId="1B54F510" w14:textId="77777777" w:rsidR="00340A38" w:rsidRDefault="00000000" w:rsidP="002030EC">
            <w:pPr>
              <w:spacing w:after="0"/>
              <w:jc w:val="center"/>
              <w:rPr>
                <w:sz w:val="18"/>
                <w:szCs w:val="18"/>
              </w:rPr>
            </w:pPr>
            <w:r>
              <w:rPr>
                <w:sz w:val="18"/>
                <w:szCs w:val="18"/>
              </w:rPr>
              <w:t>0.033</w:t>
            </w:r>
          </w:p>
        </w:tc>
        <w:tc>
          <w:tcPr>
            <w:tcW w:w="675" w:type="dxa"/>
            <w:tcBorders>
              <w:top w:val="nil"/>
              <w:left w:val="nil"/>
              <w:bottom w:val="nil"/>
              <w:right w:val="nil"/>
            </w:tcBorders>
            <w:tcMar>
              <w:top w:w="0" w:type="dxa"/>
              <w:left w:w="0" w:type="dxa"/>
              <w:bottom w:w="0" w:type="dxa"/>
              <w:right w:w="0" w:type="dxa"/>
            </w:tcMar>
            <w:vAlign w:val="center"/>
          </w:tcPr>
          <w:p w14:paraId="254A2F32" w14:textId="77777777" w:rsidR="00340A38" w:rsidRDefault="00000000" w:rsidP="002030EC">
            <w:pPr>
              <w:spacing w:after="0"/>
              <w:jc w:val="center"/>
              <w:rPr>
                <w:sz w:val="18"/>
                <w:szCs w:val="18"/>
              </w:rPr>
            </w:pPr>
            <w:r>
              <w:rPr>
                <w:sz w:val="18"/>
                <w:szCs w:val="18"/>
              </w:rPr>
              <w:t>0.165</w:t>
            </w:r>
          </w:p>
        </w:tc>
        <w:tc>
          <w:tcPr>
            <w:tcW w:w="705" w:type="dxa"/>
            <w:tcBorders>
              <w:top w:val="nil"/>
              <w:left w:val="nil"/>
              <w:bottom w:val="nil"/>
              <w:right w:val="nil"/>
            </w:tcBorders>
            <w:tcMar>
              <w:top w:w="0" w:type="dxa"/>
              <w:left w:w="0" w:type="dxa"/>
              <w:bottom w:w="0" w:type="dxa"/>
              <w:right w:w="0" w:type="dxa"/>
            </w:tcMar>
            <w:vAlign w:val="center"/>
          </w:tcPr>
          <w:p w14:paraId="2A015679" w14:textId="77777777" w:rsidR="00340A38" w:rsidRDefault="00000000" w:rsidP="002030EC">
            <w:pPr>
              <w:spacing w:after="0"/>
              <w:jc w:val="center"/>
              <w:rPr>
                <w:sz w:val="18"/>
                <w:szCs w:val="18"/>
              </w:rPr>
            </w:pPr>
            <w:r>
              <w:rPr>
                <w:sz w:val="18"/>
                <w:szCs w:val="18"/>
              </w:rPr>
              <w:t>-0.004</w:t>
            </w:r>
          </w:p>
        </w:tc>
        <w:tc>
          <w:tcPr>
            <w:tcW w:w="675" w:type="dxa"/>
            <w:tcBorders>
              <w:top w:val="nil"/>
              <w:left w:val="nil"/>
              <w:bottom w:val="nil"/>
              <w:right w:val="nil"/>
            </w:tcBorders>
            <w:tcMar>
              <w:top w:w="0" w:type="dxa"/>
              <w:left w:w="0" w:type="dxa"/>
              <w:bottom w:w="0" w:type="dxa"/>
              <w:right w:w="0" w:type="dxa"/>
            </w:tcMar>
            <w:vAlign w:val="center"/>
          </w:tcPr>
          <w:p w14:paraId="105F3A79" w14:textId="77777777" w:rsidR="00340A38" w:rsidRDefault="00000000" w:rsidP="002030EC">
            <w:pPr>
              <w:spacing w:after="0"/>
              <w:jc w:val="center"/>
              <w:rPr>
                <w:sz w:val="18"/>
                <w:szCs w:val="18"/>
              </w:rPr>
            </w:pPr>
            <w:r>
              <w:rPr>
                <w:sz w:val="18"/>
                <w:szCs w:val="18"/>
              </w:rPr>
              <w:t>1.000</w:t>
            </w:r>
          </w:p>
        </w:tc>
        <w:tc>
          <w:tcPr>
            <w:tcW w:w="705" w:type="dxa"/>
            <w:tcBorders>
              <w:top w:val="nil"/>
              <w:left w:val="nil"/>
              <w:bottom w:val="nil"/>
              <w:right w:val="nil"/>
            </w:tcBorders>
            <w:tcMar>
              <w:top w:w="0" w:type="dxa"/>
              <w:left w:w="0" w:type="dxa"/>
              <w:bottom w:w="0" w:type="dxa"/>
              <w:right w:w="0" w:type="dxa"/>
            </w:tcMar>
            <w:vAlign w:val="center"/>
          </w:tcPr>
          <w:p w14:paraId="3052F79E" w14:textId="77777777" w:rsidR="00340A38" w:rsidRDefault="00340A38" w:rsidP="002030EC">
            <w:pPr>
              <w:spacing w:after="0"/>
              <w:jc w:val="center"/>
              <w:rPr>
                <w:sz w:val="18"/>
                <w:szCs w:val="18"/>
              </w:rPr>
            </w:pPr>
          </w:p>
        </w:tc>
        <w:tc>
          <w:tcPr>
            <w:tcW w:w="675" w:type="dxa"/>
            <w:tcBorders>
              <w:top w:val="nil"/>
              <w:left w:val="nil"/>
              <w:bottom w:val="nil"/>
              <w:right w:val="nil"/>
            </w:tcBorders>
            <w:tcMar>
              <w:top w:w="0" w:type="dxa"/>
              <w:left w:w="0" w:type="dxa"/>
              <w:bottom w:w="0" w:type="dxa"/>
              <w:right w:w="0" w:type="dxa"/>
            </w:tcMar>
            <w:vAlign w:val="center"/>
          </w:tcPr>
          <w:p w14:paraId="79F2430F" w14:textId="77777777" w:rsidR="00340A38" w:rsidRDefault="00340A38" w:rsidP="002030EC">
            <w:pPr>
              <w:spacing w:after="0"/>
              <w:jc w:val="center"/>
              <w:rPr>
                <w:sz w:val="18"/>
                <w:szCs w:val="18"/>
              </w:rPr>
            </w:pPr>
          </w:p>
        </w:tc>
      </w:tr>
      <w:tr w:rsidR="00340A38" w14:paraId="701B5A0D" w14:textId="77777777" w:rsidTr="002030EC">
        <w:tc>
          <w:tcPr>
            <w:tcW w:w="705" w:type="dxa"/>
            <w:tcBorders>
              <w:top w:val="nil"/>
              <w:left w:val="nil"/>
              <w:bottom w:val="nil"/>
              <w:right w:val="nil"/>
            </w:tcBorders>
            <w:tcMar>
              <w:top w:w="0" w:type="dxa"/>
              <w:left w:w="0" w:type="dxa"/>
              <w:bottom w:w="0" w:type="dxa"/>
              <w:right w:w="0" w:type="dxa"/>
            </w:tcMar>
            <w:vAlign w:val="center"/>
          </w:tcPr>
          <w:p w14:paraId="497B24A4" w14:textId="77777777" w:rsidR="00340A38" w:rsidRDefault="00000000" w:rsidP="002030EC">
            <w:pPr>
              <w:spacing w:after="0"/>
              <w:jc w:val="center"/>
              <w:rPr>
                <w:b/>
                <w:sz w:val="18"/>
                <w:szCs w:val="18"/>
              </w:rPr>
            </w:pPr>
            <w:r>
              <w:rPr>
                <w:b/>
                <w:sz w:val="18"/>
                <w:szCs w:val="18"/>
              </w:rPr>
              <w:t>TANG</w:t>
            </w:r>
          </w:p>
        </w:tc>
        <w:tc>
          <w:tcPr>
            <w:tcW w:w="705" w:type="dxa"/>
            <w:tcBorders>
              <w:top w:val="nil"/>
              <w:left w:val="nil"/>
              <w:bottom w:val="nil"/>
              <w:right w:val="nil"/>
            </w:tcBorders>
            <w:tcMar>
              <w:top w:w="0" w:type="dxa"/>
              <w:left w:w="0" w:type="dxa"/>
              <w:bottom w:w="0" w:type="dxa"/>
              <w:right w:w="0" w:type="dxa"/>
            </w:tcMar>
            <w:vAlign w:val="center"/>
          </w:tcPr>
          <w:p w14:paraId="143980E5" w14:textId="77777777" w:rsidR="00340A38" w:rsidRDefault="00000000" w:rsidP="002030EC">
            <w:pPr>
              <w:spacing w:after="0"/>
              <w:jc w:val="center"/>
              <w:rPr>
                <w:sz w:val="18"/>
                <w:szCs w:val="18"/>
              </w:rPr>
            </w:pPr>
            <w:r>
              <w:rPr>
                <w:sz w:val="18"/>
                <w:szCs w:val="18"/>
              </w:rPr>
              <w:t>-0.052</w:t>
            </w:r>
          </w:p>
        </w:tc>
        <w:tc>
          <w:tcPr>
            <w:tcW w:w="705" w:type="dxa"/>
            <w:tcBorders>
              <w:top w:val="nil"/>
              <w:left w:val="nil"/>
              <w:bottom w:val="nil"/>
              <w:right w:val="nil"/>
            </w:tcBorders>
            <w:tcMar>
              <w:top w:w="0" w:type="dxa"/>
              <w:left w:w="0" w:type="dxa"/>
              <w:bottom w:w="0" w:type="dxa"/>
              <w:right w:w="0" w:type="dxa"/>
            </w:tcMar>
            <w:vAlign w:val="center"/>
          </w:tcPr>
          <w:p w14:paraId="7D129872" w14:textId="77777777" w:rsidR="00340A38" w:rsidRDefault="00000000" w:rsidP="002030EC">
            <w:pPr>
              <w:spacing w:after="0"/>
              <w:jc w:val="center"/>
              <w:rPr>
                <w:sz w:val="18"/>
                <w:szCs w:val="18"/>
              </w:rPr>
            </w:pPr>
            <w:r>
              <w:rPr>
                <w:sz w:val="18"/>
                <w:szCs w:val="18"/>
              </w:rPr>
              <w:t>0.054</w:t>
            </w:r>
          </w:p>
        </w:tc>
        <w:tc>
          <w:tcPr>
            <w:tcW w:w="705" w:type="dxa"/>
            <w:tcBorders>
              <w:top w:val="nil"/>
              <w:left w:val="nil"/>
              <w:bottom w:val="nil"/>
              <w:right w:val="nil"/>
            </w:tcBorders>
            <w:tcMar>
              <w:top w:w="0" w:type="dxa"/>
              <w:left w:w="0" w:type="dxa"/>
              <w:bottom w:w="0" w:type="dxa"/>
              <w:right w:w="0" w:type="dxa"/>
            </w:tcMar>
            <w:vAlign w:val="center"/>
          </w:tcPr>
          <w:p w14:paraId="4D6F43A7" w14:textId="77777777" w:rsidR="00340A38" w:rsidRDefault="00000000" w:rsidP="002030EC">
            <w:pPr>
              <w:spacing w:after="0"/>
              <w:jc w:val="center"/>
              <w:rPr>
                <w:sz w:val="18"/>
                <w:szCs w:val="18"/>
              </w:rPr>
            </w:pPr>
            <w:r>
              <w:rPr>
                <w:sz w:val="18"/>
                <w:szCs w:val="18"/>
              </w:rPr>
              <w:t>0.121</w:t>
            </w:r>
          </w:p>
        </w:tc>
        <w:tc>
          <w:tcPr>
            <w:tcW w:w="705" w:type="dxa"/>
            <w:tcBorders>
              <w:top w:val="nil"/>
              <w:left w:val="nil"/>
              <w:bottom w:val="nil"/>
              <w:right w:val="nil"/>
            </w:tcBorders>
            <w:tcMar>
              <w:top w:w="0" w:type="dxa"/>
              <w:left w:w="0" w:type="dxa"/>
              <w:bottom w:w="0" w:type="dxa"/>
              <w:right w:w="0" w:type="dxa"/>
            </w:tcMar>
            <w:vAlign w:val="center"/>
          </w:tcPr>
          <w:p w14:paraId="40832945" w14:textId="77777777" w:rsidR="00340A38" w:rsidRDefault="00000000" w:rsidP="002030EC">
            <w:pPr>
              <w:spacing w:after="0"/>
              <w:jc w:val="center"/>
              <w:rPr>
                <w:sz w:val="18"/>
                <w:szCs w:val="18"/>
              </w:rPr>
            </w:pPr>
            <w:r>
              <w:rPr>
                <w:sz w:val="18"/>
                <w:szCs w:val="18"/>
              </w:rPr>
              <w:t>0.095</w:t>
            </w:r>
          </w:p>
        </w:tc>
        <w:tc>
          <w:tcPr>
            <w:tcW w:w="705" w:type="dxa"/>
            <w:tcBorders>
              <w:top w:val="nil"/>
              <w:left w:val="nil"/>
              <w:bottom w:val="nil"/>
              <w:right w:val="nil"/>
            </w:tcBorders>
            <w:tcMar>
              <w:top w:w="0" w:type="dxa"/>
              <w:left w:w="0" w:type="dxa"/>
              <w:bottom w:w="0" w:type="dxa"/>
              <w:right w:w="0" w:type="dxa"/>
            </w:tcMar>
            <w:vAlign w:val="center"/>
          </w:tcPr>
          <w:p w14:paraId="02D32079" w14:textId="77777777" w:rsidR="00340A38" w:rsidRDefault="00000000" w:rsidP="002030EC">
            <w:pPr>
              <w:spacing w:after="0"/>
              <w:jc w:val="center"/>
              <w:rPr>
                <w:sz w:val="18"/>
                <w:szCs w:val="18"/>
              </w:rPr>
            </w:pPr>
            <w:r>
              <w:rPr>
                <w:sz w:val="18"/>
                <w:szCs w:val="18"/>
              </w:rPr>
              <w:t>0.175</w:t>
            </w:r>
          </w:p>
        </w:tc>
        <w:tc>
          <w:tcPr>
            <w:tcW w:w="675" w:type="dxa"/>
            <w:tcBorders>
              <w:top w:val="nil"/>
              <w:left w:val="nil"/>
              <w:bottom w:val="nil"/>
              <w:right w:val="nil"/>
            </w:tcBorders>
            <w:tcMar>
              <w:top w:w="0" w:type="dxa"/>
              <w:left w:w="0" w:type="dxa"/>
              <w:bottom w:w="0" w:type="dxa"/>
              <w:right w:w="0" w:type="dxa"/>
            </w:tcMar>
            <w:vAlign w:val="center"/>
          </w:tcPr>
          <w:p w14:paraId="789184B7" w14:textId="77777777" w:rsidR="00340A38" w:rsidRDefault="00000000" w:rsidP="002030EC">
            <w:pPr>
              <w:spacing w:after="0"/>
              <w:jc w:val="center"/>
              <w:rPr>
                <w:sz w:val="18"/>
                <w:szCs w:val="18"/>
              </w:rPr>
            </w:pPr>
            <w:r>
              <w:rPr>
                <w:sz w:val="18"/>
                <w:szCs w:val="18"/>
              </w:rPr>
              <w:t>-0.090</w:t>
            </w:r>
          </w:p>
        </w:tc>
        <w:tc>
          <w:tcPr>
            <w:tcW w:w="675" w:type="dxa"/>
            <w:tcBorders>
              <w:top w:val="nil"/>
              <w:left w:val="nil"/>
              <w:bottom w:val="nil"/>
              <w:right w:val="nil"/>
            </w:tcBorders>
            <w:tcMar>
              <w:top w:w="0" w:type="dxa"/>
              <w:left w:w="0" w:type="dxa"/>
              <w:bottom w:w="0" w:type="dxa"/>
              <w:right w:w="0" w:type="dxa"/>
            </w:tcMar>
            <w:vAlign w:val="center"/>
          </w:tcPr>
          <w:p w14:paraId="019D5A9F" w14:textId="77777777" w:rsidR="00340A38" w:rsidRDefault="00000000" w:rsidP="002030EC">
            <w:pPr>
              <w:spacing w:after="0"/>
              <w:jc w:val="center"/>
              <w:rPr>
                <w:sz w:val="18"/>
                <w:szCs w:val="18"/>
              </w:rPr>
            </w:pPr>
            <w:r>
              <w:rPr>
                <w:sz w:val="18"/>
                <w:szCs w:val="18"/>
              </w:rPr>
              <w:t>-0.027</w:t>
            </w:r>
          </w:p>
        </w:tc>
        <w:tc>
          <w:tcPr>
            <w:tcW w:w="705" w:type="dxa"/>
            <w:tcBorders>
              <w:top w:val="nil"/>
              <w:left w:val="nil"/>
              <w:bottom w:val="nil"/>
              <w:right w:val="nil"/>
            </w:tcBorders>
            <w:tcMar>
              <w:top w:w="0" w:type="dxa"/>
              <w:left w:w="0" w:type="dxa"/>
              <w:bottom w:w="0" w:type="dxa"/>
              <w:right w:w="0" w:type="dxa"/>
            </w:tcMar>
            <w:vAlign w:val="center"/>
          </w:tcPr>
          <w:p w14:paraId="0CAA2CA7" w14:textId="77777777" w:rsidR="00340A38" w:rsidRDefault="00000000" w:rsidP="002030EC">
            <w:pPr>
              <w:spacing w:after="0"/>
              <w:jc w:val="center"/>
              <w:rPr>
                <w:sz w:val="18"/>
                <w:szCs w:val="18"/>
              </w:rPr>
            </w:pPr>
            <w:r>
              <w:rPr>
                <w:sz w:val="18"/>
                <w:szCs w:val="18"/>
              </w:rPr>
              <w:t>0.217</w:t>
            </w:r>
          </w:p>
        </w:tc>
        <w:tc>
          <w:tcPr>
            <w:tcW w:w="675" w:type="dxa"/>
            <w:tcBorders>
              <w:top w:val="nil"/>
              <w:left w:val="nil"/>
              <w:bottom w:val="nil"/>
              <w:right w:val="nil"/>
            </w:tcBorders>
            <w:tcMar>
              <w:top w:w="0" w:type="dxa"/>
              <w:left w:w="0" w:type="dxa"/>
              <w:bottom w:w="0" w:type="dxa"/>
              <w:right w:w="0" w:type="dxa"/>
            </w:tcMar>
            <w:vAlign w:val="center"/>
          </w:tcPr>
          <w:p w14:paraId="777FC08F" w14:textId="77777777" w:rsidR="00340A38" w:rsidRDefault="00000000" w:rsidP="002030EC">
            <w:pPr>
              <w:spacing w:after="0"/>
              <w:jc w:val="center"/>
              <w:rPr>
                <w:sz w:val="18"/>
                <w:szCs w:val="18"/>
              </w:rPr>
            </w:pPr>
            <w:r>
              <w:rPr>
                <w:sz w:val="18"/>
                <w:szCs w:val="18"/>
              </w:rPr>
              <w:t>0.083</w:t>
            </w:r>
          </w:p>
        </w:tc>
        <w:tc>
          <w:tcPr>
            <w:tcW w:w="705" w:type="dxa"/>
            <w:tcBorders>
              <w:top w:val="nil"/>
              <w:left w:val="nil"/>
              <w:bottom w:val="nil"/>
              <w:right w:val="nil"/>
            </w:tcBorders>
            <w:tcMar>
              <w:top w:w="0" w:type="dxa"/>
              <w:left w:w="0" w:type="dxa"/>
              <w:bottom w:w="0" w:type="dxa"/>
              <w:right w:w="0" w:type="dxa"/>
            </w:tcMar>
            <w:vAlign w:val="center"/>
          </w:tcPr>
          <w:p w14:paraId="7B0B14A3" w14:textId="77777777" w:rsidR="00340A38" w:rsidRDefault="00000000" w:rsidP="002030EC">
            <w:pPr>
              <w:spacing w:after="0"/>
              <w:jc w:val="center"/>
              <w:rPr>
                <w:sz w:val="18"/>
                <w:szCs w:val="18"/>
              </w:rPr>
            </w:pPr>
            <w:r>
              <w:rPr>
                <w:sz w:val="18"/>
                <w:szCs w:val="18"/>
              </w:rPr>
              <w:t>-0.319</w:t>
            </w:r>
          </w:p>
        </w:tc>
        <w:tc>
          <w:tcPr>
            <w:tcW w:w="675" w:type="dxa"/>
            <w:tcBorders>
              <w:top w:val="nil"/>
              <w:left w:val="nil"/>
              <w:bottom w:val="nil"/>
              <w:right w:val="nil"/>
            </w:tcBorders>
            <w:tcMar>
              <w:top w:w="0" w:type="dxa"/>
              <w:left w:w="0" w:type="dxa"/>
              <w:bottom w:w="0" w:type="dxa"/>
              <w:right w:w="0" w:type="dxa"/>
            </w:tcMar>
            <w:vAlign w:val="center"/>
          </w:tcPr>
          <w:p w14:paraId="73239BD6" w14:textId="77777777" w:rsidR="00340A38" w:rsidRDefault="00000000" w:rsidP="002030EC">
            <w:pPr>
              <w:spacing w:after="0"/>
              <w:jc w:val="center"/>
              <w:rPr>
                <w:sz w:val="18"/>
                <w:szCs w:val="18"/>
              </w:rPr>
            </w:pPr>
            <w:r>
              <w:rPr>
                <w:sz w:val="18"/>
                <w:szCs w:val="18"/>
              </w:rPr>
              <w:t>0.264</w:t>
            </w:r>
          </w:p>
        </w:tc>
        <w:tc>
          <w:tcPr>
            <w:tcW w:w="705" w:type="dxa"/>
            <w:tcBorders>
              <w:top w:val="nil"/>
              <w:left w:val="nil"/>
              <w:bottom w:val="nil"/>
              <w:right w:val="nil"/>
            </w:tcBorders>
            <w:tcMar>
              <w:top w:w="0" w:type="dxa"/>
              <w:left w:w="0" w:type="dxa"/>
              <w:bottom w:w="0" w:type="dxa"/>
              <w:right w:w="0" w:type="dxa"/>
            </w:tcMar>
            <w:vAlign w:val="center"/>
          </w:tcPr>
          <w:p w14:paraId="381E4CDD" w14:textId="77777777" w:rsidR="00340A38" w:rsidRDefault="00000000" w:rsidP="002030EC">
            <w:pPr>
              <w:spacing w:after="0"/>
              <w:jc w:val="center"/>
              <w:rPr>
                <w:sz w:val="18"/>
                <w:szCs w:val="18"/>
              </w:rPr>
            </w:pPr>
            <w:r>
              <w:rPr>
                <w:sz w:val="18"/>
                <w:szCs w:val="18"/>
              </w:rPr>
              <w:t>1.000</w:t>
            </w:r>
          </w:p>
        </w:tc>
        <w:tc>
          <w:tcPr>
            <w:tcW w:w="675" w:type="dxa"/>
            <w:tcBorders>
              <w:top w:val="nil"/>
              <w:left w:val="nil"/>
              <w:bottom w:val="nil"/>
              <w:right w:val="nil"/>
            </w:tcBorders>
            <w:tcMar>
              <w:top w:w="0" w:type="dxa"/>
              <w:left w:w="0" w:type="dxa"/>
              <w:bottom w:w="0" w:type="dxa"/>
              <w:right w:w="0" w:type="dxa"/>
            </w:tcMar>
            <w:vAlign w:val="center"/>
          </w:tcPr>
          <w:p w14:paraId="7D779851" w14:textId="77777777" w:rsidR="00340A38" w:rsidRDefault="00340A38" w:rsidP="002030EC">
            <w:pPr>
              <w:spacing w:after="0"/>
              <w:jc w:val="center"/>
              <w:rPr>
                <w:sz w:val="18"/>
                <w:szCs w:val="18"/>
              </w:rPr>
            </w:pPr>
          </w:p>
        </w:tc>
      </w:tr>
      <w:tr w:rsidR="00340A38" w14:paraId="1D063300" w14:textId="77777777" w:rsidTr="002030EC">
        <w:tc>
          <w:tcPr>
            <w:tcW w:w="705" w:type="dxa"/>
            <w:tcBorders>
              <w:top w:val="nil"/>
              <w:left w:val="nil"/>
              <w:bottom w:val="single" w:sz="6" w:space="0" w:color="000000"/>
              <w:right w:val="nil"/>
            </w:tcBorders>
            <w:tcMar>
              <w:top w:w="0" w:type="dxa"/>
              <w:left w:w="0" w:type="dxa"/>
              <w:bottom w:w="0" w:type="dxa"/>
              <w:right w:w="0" w:type="dxa"/>
            </w:tcMar>
            <w:vAlign w:val="center"/>
          </w:tcPr>
          <w:p w14:paraId="645AA3E0" w14:textId="77777777" w:rsidR="00340A38" w:rsidRDefault="00000000" w:rsidP="002030EC">
            <w:pPr>
              <w:spacing w:after="0"/>
              <w:jc w:val="center"/>
              <w:rPr>
                <w:b/>
                <w:sz w:val="18"/>
                <w:szCs w:val="18"/>
              </w:rPr>
            </w:pPr>
            <w:r>
              <w:rPr>
                <w:b/>
                <w:sz w:val="18"/>
                <w:szCs w:val="18"/>
              </w:rPr>
              <w:t>LEV</w:t>
            </w:r>
          </w:p>
        </w:tc>
        <w:tc>
          <w:tcPr>
            <w:tcW w:w="705" w:type="dxa"/>
            <w:tcBorders>
              <w:top w:val="nil"/>
              <w:left w:val="nil"/>
              <w:bottom w:val="single" w:sz="6" w:space="0" w:color="000000"/>
              <w:right w:val="nil"/>
            </w:tcBorders>
            <w:tcMar>
              <w:top w:w="0" w:type="dxa"/>
              <w:left w:w="0" w:type="dxa"/>
              <w:bottom w:w="0" w:type="dxa"/>
              <w:right w:w="0" w:type="dxa"/>
            </w:tcMar>
            <w:vAlign w:val="center"/>
          </w:tcPr>
          <w:p w14:paraId="044DABA9" w14:textId="77777777" w:rsidR="00340A38" w:rsidRDefault="00000000" w:rsidP="002030EC">
            <w:pPr>
              <w:spacing w:after="0"/>
              <w:jc w:val="center"/>
              <w:rPr>
                <w:sz w:val="18"/>
                <w:szCs w:val="18"/>
              </w:rPr>
            </w:pPr>
            <w:r>
              <w:rPr>
                <w:sz w:val="18"/>
                <w:szCs w:val="18"/>
              </w:rPr>
              <w:t>0.018</w:t>
            </w:r>
          </w:p>
        </w:tc>
        <w:tc>
          <w:tcPr>
            <w:tcW w:w="705" w:type="dxa"/>
            <w:tcBorders>
              <w:top w:val="nil"/>
              <w:left w:val="nil"/>
              <w:bottom w:val="single" w:sz="6" w:space="0" w:color="000000"/>
              <w:right w:val="nil"/>
            </w:tcBorders>
            <w:tcMar>
              <w:top w:w="0" w:type="dxa"/>
              <w:left w:w="0" w:type="dxa"/>
              <w:bottom w:w="0" w:type="dxa"/>
              <w:right w:w="0" w:type="dxa"/>
            </w:tcMar>
            <w:vAlign w:val="center"/>
          </w:tcPr>
          <w:p w14:paraId="32BF195C" w14:textId="77777777" w:rsidR="00340A38" w:rsidRDefault="00000000" w:rsidP="002030EC">
            <w:pPr>
              <w:spacing w:after="0"/>
              <w:jc w:val="center"/>
              <w:rPr>
                <w:sz w:val="18"/>
                <w:szCs w:val="18"/>
              </w:rPr>
            </w:pPr>
            <w:r>
              <w:rPr>
                <w:sz w:val="18"/>
                <w:szCs w:val="18"/>
              </w:rPr>
              <w:t>-0.057</w:t>
            </w:r>
          </w:p>
        </w:tc>
        <w:tc>
          <w:tcPr>
            <w:tcW w:w="705" w:type="dxa"/>
            <w:tcBorders>
              <w:top w:val="nil"/>
              <w:left w:val="nil"/>
              <w:bottom w:val="single" w:sz="6" w:space="0" w:color="000000"/>
              <w:right w:val="nil"/>
            </w:tcBorders>
            <w:tcMar>
              <w:top w:w="0" w:type="dxa"/>
              <w:left w:w="0" w:type="dxa"/>
              <w:bottom w:w="0" w:type="dxa"/>
              <w:right w:w="0" w:type="dxa"/>
            </w:tcMar>
            <w:vAlign w:val="center"/>
          </w:tcPr>
          <w:p w14:paraId="683CA347" w14:textId="77777777" w:rsidR="00340A38" w:rsidRDefault="00000000" w:rsidP="002030EC">
            <w:pPr>
              <w:spacing w:after="0"/>
              <w:jc w:val="center"/>
              <w:rPr>
                <w:sz w:val="18"/>
                <w:szCs w:val="18"/>
              </w:rPr>
            </w:pPr>
            <w:r>
              <w:rPr>
                <w:sz w:val="18"/>
                <w:szCs w:val="18"/>
              </w:rPr>
              <w:t>-0.109</w:t>
            </w:r>
          </w:p>
        </w:tc>
        <w:tc>
          <w:tcPr>
            <w:tcW w:w="705" w:type="dxa"/>
            <w:tcBorders>
              <w:top w:val="nil"/>
              <w:left w:val="nil"/>
              <w:bottom w:val="single" w:sz="6" w:space="0" w:color="000000"/>
              <w:right w:val="nil"/>
            </w:tcBorders>
            <w:tcMar>
              <w:top w:w="0" w:type="dxa"/>
              <w:left w:w="0" w:type="dxa"/>
              <w:bottom w:w="0" w:type="dxa"/>
              <w:right w:w="0" w:type="dxa"/>
            </w:tcMar>
            <w:vAlign w:val="center"/>
          </w:tcPr>
          <w:p w14:paraId="7950D838" w14:textId="77777777" w:rsidR="00340A38" w:rsidRDefault="00000000" w:rsidP="002030EC">
            <w:pPr>
              <w:spacing w:after="0"/>
              <w:jc w:val="center"/>
              <w:rPr>
                <w:sz w:val="18"/>
                <w:szCs w:val="18"/>
              </w:rPr>
            </w:pPr>
            <w:r>
              <w:rPr>
                <w:sz w:val="18"/>
                <w:szCs w:val="18"/>
              </w:rPr>
              <w:t>-0.091</w:t>
            </w:r>
          </w:p>
        </w:tc>
        <w:tc>
          <w:tcPr>
            <w:tcW w:w="705" w:type="dxa"/>
            <w:tcBorders>
              <w:top w:val="nil"/>
              <w:left w:val="nil"/>
              <w:bottom w:val="single" w:sz="6" w:space="0" w:color="000000"/>
              <w:right w:val="nil"/>
            </w:tcBorders>
            <w:tcMar>
              <w:top w:w="0" w:type="dxa"/>
              <w:left w:w="0" w:type="dxa"/>
              <w:bottom w:w="0" w:type="dxa"/>
              <w:right w:w="0" w:type="dxa"/>
            </w:tcMar>
            <w:vAlign w:val="center"/>
          </w:tcPr>
          <w:p w14:paraId="2D83DF18" w14:textId="77777777" w:rsidR="00340A38" w:rsidRDefault="00000000" w:rsidP="002030EC">
            <w:pPr>
              <w:spacing w:after="0"/>
              <w:jc w:val="center"/>
              <w:rPr>
                <w:sz w:val="18"/>
                <w:szCs w:val="18"/>
              </w:rPr>
            </w:pPr>
            <w:r>
              <w:rPr>
                <w:sz w:val="18"/>
                <w:szCs w:val="18"/>
              </w:rPr>
              <w:t>-0.176</w:t>
            </w:r>
          </w:p>
        </w:tc>
        <w:tc>
          <w:tcPr>
            <w:tcW w:w="675" w:type="dxa"/>
            <w:tcBorders>
              <w:top w:val="nil"/>
              <w:left w:val="nil"/>
              <w:bottom w:val="single" w:sz="6" w:space="0" w:color="000000"/>
              <w:right w:val="nil"/>
            </w:tcBorders>
            <w:tcMar>
              <w:top w:w="0" w:type="dxa"/>
              <w:left w:w="0" w:type="dxa"/>
              <w:bottom w:w="0" w:type="dxa"/>
              <w:right w:w="0" w:type="dxa"/>
            </w:tcMar>
            <w:vAlign w:val="center"/>
          </w:tcPr>
          <w:p w14:paraId="37127436" w14:textId="77777777" w:rsidR="00340A38" w:rsidRDefault="00000000" w:rsidP="002030EC">
            <w:pPr>
              <w:spacing w:after="0"/>
              <w:jc w:val="center"/>
              <w:rPr>
                <w:sz w:val="18"/>
                <w:szCs w:val="18"/>
              </w:rPr>
            </w:pPr>
            <w:r>
              <w:rPr>
                <w:sz w:val="18"/>
                <w:szCs w:val="18"/>
              </w:rPr>
              <w:t>0.079</w:t>
            </w:r>
          </w:p>
        </w:tc>
        <w:tc>
          <w:tcPr>
            <w:tcW w:w="675" w:type="dxa"/>
            <w:tcBorders>
              <w:top w:val="nil"/>
              <w:left w:val="nil"/>
              <w:bottom w:val="single" w:sz="6" w:space="0" w:color="000000"/>
              <w:right w:val="nil"/>
            </w:tcBorders>
            <w:tcMar>
              <w:top w:w="0" w:type="dxa"/>
              <w:left w:w="0" w:type="dxa"/>
              <w:bottom w:w="0" w:type="dxa"/>
              <w:right w:w="0" w:type="dxa"/>
            </w:tcMar>
            <w:vAlign w:val="center"/>
          </w:tcPr>
          <w:p w14:paraId="5A0102F3" w14:textId="77777777" w:rsidR="00340A38" w:rsidRDefault="00000000" w:rsidP="002030EC">
            <w:pPr>
              <w:spacing w:after="0"/>
              <w:jc w:val="center"/>
              <w:rPr>
                <w:sz w:val="18"/>
                <w:szCs w:val="18"/>
              </w:rPr>
            </w:pPr>
            <w:r>
              <w:rPr>
                <w:sz w:val="18"/>
                <w:szCs w:val="18"/>
              </w:rPr>
              <w:t>0.040</w:t>
            </w:r>
          </w:p>
        </w:tc>
        <w:tc>
          <w:tcPr>
            <w:tcW w:w="705" w:type="dxa"/>
            <w:tcBorders>
              <w:top w:val="nil"/>
              <w:left w:val="nil"/>
              <w:bottom w:val="single" w:sz="6" w:space="0" w:color="000000"/>
              <w:right w:val="nil"/>
            </w:tcBorders>
            <w:tcMar>
              <w:top w:w="0" w:type="dxa"/>
              <w:left w:w="0" w:type="dxa"/>
              <w:bottom w:w="0" w:type="dxa"/>
              <w:right w:w="0" w:type="dxa"/>
            </w:tcMar>
            <w:vAlign w:val="center"/>
          </w:tcPr>
          <w:p w14:paraId="73DAFB1E" w14:textId="77777777" w:rsidR="00340A38" w:rsidRDefault="00000000" w:rsidP="002030EC">
            <w:pPr>
              <w:spacing w:after="0"/>
              <w:jc w:val="center"/>
              <w:rPr>
                <w:sz w:val="18"/>
                <w:szCs w:val="18"/>
              </w:rPr>
            </w:pPr>
            <w:r>
              <w:rPr>
                <w:sz w:val="18"/>
                <w:szCs w:val="18"/>
              </w:rPr>
              <w:t>-0.242</w:t>
            </w:r>
          </w:p>
        </w:tc>
        <w:tc>
          <w:tcPr>
            <w:tcW w:w="675" w:type="dxa"/>
            <w:tcBorders>
              <w:top w:val="nil"/>
              <w:left w:val="nil"/>
              <w:bottom w:val="single" w:sz="6" w:space="0" w:color="000000"/>
              <w:right w:val="nil"/>
            </w:tcBorders>
            <w:tcMar>
              <w:top w:w="0" w:type="dxa"/>
              <w:left w:w="0" w:type="dxa"/>
              <w:bottom w:w="0" w:type="dxa"/>
              <w:right w:w="0" w:type="dxa"/>
            </w:tcMar>
            <w:vAlign w:val="center"/>
          </w:tcPr>
          <w:p w14:paraId="32E09BBF" w14:textId="77777777" w:rsidR="00340A38" w:rsidRDefault="00000000" w:rsidP="002030EC">
            <w:pPr>
              <w:spacing w:after="0"/>
              <w:jc w:val="center"/>
              <w:rPr>
                <w:sz w:val="18"/>
                <w:szCs w:val="18"/>
              </w:rPr>
            </w:pPr>
            <w:r>
              <w:rPr>
                <w:sz w:val="18"/>
                <w:szCs w:val="18"/>
              </w:rPr>
              <w:t>-0.109</w:t>
            </w:r>
          </w:p>
        </w:tc>
        <w:tc>
          <w:tcPr>
            <w:tcW w:w="705" w:type="dxa"/>
            <w:tcBorders>
              <w:top w:val="nil"/>
              <w:left w:val="nil"/>
              <w:bottom w:val="single" w:sz="6" w:space="0" w:color="000000"/>
              <w:right w:val="nil"/>
            </w:tcBorders>
            <w:tcMar>
              <w:top w:w="0" w:type="dxa"/>
              <w:left w:w="0" w:type="dxa"/>
              <w:bottom w:w="0" w:type="dxa"/>
              <w:right w:w="0" w:type="dxa"/>
            </w:tcMar>
            <w:vAlign w:val="center"/>
          </w:tcPr>
          <w:p w14:paraId="6DC3ACCD" w14:textId="77777777" w:rsidR="00340A38" w:rsidRDefault="00000000" w:rsidP="002030EC">
            <w:pPr>
              <w:spacing w:after="0"/>
              <w:jc w:val="center"/>
              <w:rPr>
                <w:sz w:val="18"/>
                <w:szCs w:val="18"/>
              </w:rPr>
            </w:pPr>
            <w:r>
              <w:rPr>
                <w:sz w:val="18"/>
                <w:szCs w:val="18"/>
              </w:rPr>
              <w:t>0.306</w:t>
            </w:r>
          </w:p>
        </w:tc>
        <w:tc>
          <w:tcPr>
            <w:tcW w:w="675" w:type="dxa"/>
            <w:tcBorders>
              <w:top w:val="nil"/>
              <w:left w:val="nil"/>
              <w:bottom w:val="single" w:sz="6" w:space="0" w:color="000000"/>
              <w:right w:val="nil"/>
            </w:tcBorders>
            <w:tcMar>
              <w:top w:w="0" w:type="dxa"/>
              <w:left w:w="0" w:type="dxa"/>
              <w:bottom w:w="0" w:type="dxa"/>
              <w:right w:w="0" w:type="dxa"/>
            </w:tcMar>
            <w:vAlign w:val="center"/>
          </w:tcPr>
          <w:p w14:paraId="06C91A14" w14:textId="77777777" w:rsidR="00340A38" w:rsidRDefault="00000000" w:rsidP="002030EC">
            <w:pPr>
              <w:spacing w:after="0"/>
              <w:jc w:val="center"/>
              <w:rPr>
                <w:sz w:val="18"/>
                <w:szCs w:val="18"/>
              </w:rPr>
            </w:pPr>
            <w:r>
              <w:rPr>
                <w:sz w:val="18"/>
                <w:szCs w:val="18"/>
              </w:rPr>
              <w:t>-0.276</w:t>
            </w:r>
          </w:p>
        </w:tc>
        <w:tc>
          <w:tcPr>
            <w:tcW w:w="705" w:type="dxa"/>
            <w:tcBorders>
              <w:top w:val="nil"/>
              <w:left w:val="nil"/>
              <w:bottom w:val="single" w:sz="6" w:space="0" w:color="000000"/>
              <w:right w:val="nil"/>
            </w:tcBorders>
            <w:tcMar>
              <w:top w:w="0" w:type="dxa"/>
              <w:left w:w="0" w:type="dxa"/>
              <w:bottom w:w="0" w:type="dxa"/>
              <w:right w:w="0" w:type="dxa"/>
            </w:tcMar>
            <w:vAlign w:val="center"/>
          </w:tcPr>
          <w:p w14:paraId="6BFA306E" w14:textId="77777777" w:rsidR="00340A38" w:rsidRDefault="00000000" w:rsidP="002030EC">
            <w:pPr>
              <w:spacing w:after="0"/>
              <w:jc w:val="center"/>
              <w:rPr>
                <w:sz w:val="18"/>
                <w:szCs w:val="18"/>
              </w:rPr>
            </w:pPr>
            <w:r>
              <w:rPr>
                <w:sz w:val="18"/>
                <w:szCs w:val="18"/>
              </w:rPr>
              <w:t>-0.927</w:t>
            </w:r>
          </w:p>
        </w:tc>
        <w:tc>
          <w:tcPr>
            <w:tcW w:w="675" w:type="dxa"/>
            <w:tcBorders>
              <w:top w:val="nil"/>
              <w:left w:val="nil"/>
              <w:bottom w:val="single" w:sz="6" w:space="0" w:color="000000"/>
              <w:right w:val="nil"/>
            </w:tcBorders>
            <w:tcMar>
              <w:top w:w="0" w:type="dxa"/>
              <w:left w:w="0" w:type="dxa"/>
              <w:bottom w:w="0" w:type="dxa"/>
              <w:right w:w="0" w:type="dxa"/>
            </w:tcMar>
            <w:vAlign w:val="center"/>
          </w:tcPr>
          <w:p w14:paraId="7820CA84" w14:textId="77777777" w:rsidR="00340A38" w:rsidRDefault="00000000" w:rsidP="002030EC">
            <w:pPr>
              <w:spacing w:after="0"/>
              <w:jc w:val="center"/>
              <w:rPr>
                <w:sz w:val="18"/>
                <w:szCs w:val="18"/>
              </w:rPr>
            </w:pPr>
            <w:r>
              <w:rPr>
                <w:sz w:val="18"/>
                <w:szCs w:val="18"/>
              </w:rPr>
              <w:t>1.000</w:t>
            </w:r>
          </w:p>
        </w:tc>
      </w:tr>
    </w:tbl>
    <w:p w14:paraId="11DF4305" w14:textId="77777777" w:rsidR="00340A38" w:rsidRDefault="00340A38"/>
    <w:p w14:paraId="3D1ADD40" w14:textId="77777777" w:rsidR="00340A38" w:rsidRDefault="00000000">
      <w:pPr>
        <w:pStyle w:val="Heading2"/>
        <w:spacing w:line="480" w:lineRule="auto"/>
      </w:pPr>
      <w:bookmarkStart w:id="21" w:name="_jf5m1ce6khh" w:colFirst="0" w:colLast="0"/>
      <w:bookmarkEnd w:id="21"/>
      <w:r>
        <w:lastRenderedPageBreak/>
        <w:t>4.4 Construction of index</w:t>
      </w:r>
    </w:p>
    <w:p w14:paraId="4AA6B033" w14:textId="77777777" w:rsidR="00340A38" w:rsidRDefault="00000000">
      <w:pPr>
        <w:pStyle w:val="Heading3"/>
        <w:spacing w:line="480" w:lineRule="auto"/>
      </w:pPr>
      <w:bookmarkStart w:id="22" w:name="_4iy7dh7dy3s" w:colFirst="0" w:colLast="0"/>
      <w:bookmarkEnd w:id="22"/>
      <w:r>
        <w:t xml:space="preserve">4.4.1 Primary Component Analysis </w:t>
      </w:r>
    </w:p>
    <w:p w14:paraId="77C26718" w14:textId="77777777" w:rsidR="00340A38" w:rsidRDefault="00000000">
      <w:pPr>
        <w:spacing w:line="480" w:lineRule="auto"/>
        <w:jc w:val="both"/>
      </w:pPr>
      <w:r>
        <w:t xml:space="preserve">By applying the PCA Analysis, we can reduce the dimensionality of our original data by figuring out a new set of variables that are orthogonal and ordered </w:t>
      </w:r>
      <w:proofErr w:type="gramStart"/>
      <w:r>
        <w:t>so as to</w:t>
      </w:r>
      <w:proofErr w:type="gramEnd"/>
      <w:r>
        <w:t xml:space="preserve"> explain as much variation present in our original variables as possible (</w:t>
      </w:r>
      <w:proofErr w:type="spellStart"/>
      <w:r>
        <w:t>Maćkiewicz</w:t>
      </w:r>
      <w:proofErr w:type="spellEnd"/>
      <w:r>
        <w:t xml:space="preserve"> et al., 1993). </w:t>
      </w:r>
    </w:p>
    <w:p w14:paraId="77FA0A5D" w14:textId="77777777" w:rsidR="00340A38" w:rsidRDefault="00000000">
      <w:pPr>
        <w:spacing w:line="480" w:lineRule="auto"/>
        <w:jc w:val="both"/>
      </w:pPr>
      <w:r>
        <w:t xml:space="preserve">For the CEO index (Figures 3 and 4), </w:t>
      </w:r>
      <w:proofErr w:type="gramStart"/>
      <w:r>
        <w:t>in order to</w:t>
      </w:r>
      <w:proofErr w:type="gramEnd"/>
      <w:r>
        <w:t xml:space="preserve"> explain at least 50% of the original variance, we need to preserve two components. </w:t>
      </w:r>
      <w:proofErr w:type="gramStart"/>
      <w:r>
        <w:t>And also</w:t>
      </w:r>
      <w:proofErr w:type="gramEnd"/>
      <w:r>
        <w:t xml:space="preserve"> based on the factor loading matrix, we can get that for the two primary components, the feature CDUA (duality), CSWP (share ownership), and CDEG (degree) are closely related. </w:t>
      </w:r>
    </w:p>
    <w:p w14:paraId="4E6C7B5C" w14:textId="77777777" w:rsidR="00340A38" w:rsidRDefault="00000000">
      <w:pPr>
        <w:spacing w:line="480" w:lineRule="auto"/>
        <w:jc w:val="both"/>
      </w:pPr>
      <w:r>
        <w:t xml:space="preserve">For the BOD index (Figures 5 and 6), we also need to preserve two components to gain a 50% explanation of the variation. Based on the factor loading matrix, we can see that for the two primary components, all three features have been embodied. </w:t>
      </w:r>
      <w:r>
        <w:rPr>
          <w:noProof/>
        </w:rPr>
        <w:drawing>
          <wp:anchor distT="114300" distB="114300" distL="114300" distR="114300" simplePos="0" relativeHeight="251658240" behindDoc="0" locked="0" layoutInCell="1" hidden="0" allowOverlap="1" wp14:anchorId="77AE2639" wp14:editId="6EFD54C9">
            <wp:simplePos x="0" y="0"/>
            <wp:positionH relativeFrom="column">
              <wp:posOffset>1</wp:posOffset>
            </wp:positionH>
            <wp:positionV relativeFrom="paragraph">
              <wp:posOffset>1228725</wp:posOffset>
            </wp:positionV>
            <wp:extent cx="2663726" cy="1628775"/>
            <wp:effectExtent l="0" t="0" r="0" b="0"/>
            <wp:wrapTopAndBottom distT="114300" distB="114300"/>
            <wp:docPr id="1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rcRect/>
                    <a:stretch>
                      <a:fillRect/>
                    </a:stretch>
                  </pic:blipFill>
                  <pic:spPr>
                    <a:xfrm>
                      <a:off x="0" y="0"/>
                      <a:ext cx="2663726" cy="162877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07AA9B6F" wp14:editId="3719A0E8">
            <wp:simplePos x="0" y="0"/>
            <wp:positionH relativeFrom="column">
              <wp:posOffset>3209925</wp:posOffset>
            </wp:positionH>
            <wp:positionV relativeFrom="paragraph">
              <wp:posOffset>1166813</wp:posOffset>
            </wp:positionV>
            <wp:extent cx="2667000" cy="1754065"/>
            <wp:effectExtent l="0" t="0" r="0" b="0"/>
            <wp:wrapTopAndBottom distT="114300" distB="114300"/>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2667000" cy="1754065"/>
                    </a:xfrm>
                    <a:prstGeom prst="rect">
                      <a:avLst/>
                    </a:prstGeom>
                    <a:ln/>
                  </pic:spPr>
                </pic:pic>
              </a:graphicData>
            </a:graphic>
          </wp:anchor>
        </w:drawing>
      </w:r>
    </w:p>
    <w:p w14:paraId="32C54FB7" w14:textId="77777777" w:rsidR="00340A38" w:rsidRDefault="00000000">
      <w:pPr>
        <w:spacing w:after="0"/>
        <w:rPr>
          <w:b/>
          <w:sz w:val="18"/>
          <w:szCs w:val="18"/>
        </w:rPr>
      </w:pPr>
      <w:r>
        <w:rPr>
          <w:b/>
          <w:sz w:val="18"/>
          <w:szCs w:val="18"/>
        </w:rPr>
        <w:t xml:space="preserve">Figure 3. Explained variance for five components of CEO                     Figure 4. Factor loading Matrix for CEO </w:t>
      </w:r>
      <w:proofErr w:type="gramStart"/>
      <w:r>
        <w:rPr>
          <w:b/>
          <w:sz w:val="18"/>
          <w:szCs w:val="18"/>
        </w:rPr>
        <w:t>features</w:t>
      </w:r>
      <w:proofErr w:type="gramEnd"/>
    </w:p>
    <w:p w14:paraId="568FEA68" w14:textId="77777777" w:rsidR="00340A38" w:rsidRDefault="00000000">
      <w:pPr>
        <w:spacing w:after="0"/>
      </w:pPr>
      <w:r>
        <w:rPr>
          <w:b/>
          <w:sz w:val="18"/>
          <w:szCs w:val="18"/>
        </w:rPr>
        <w:lastRenderedPageBreak/>
        <w:t>Figure 5. Explained variance for five components of BOD                     Figure 6. Factor loading Matrix for BOD features</w:t>
      </w:r>
      <w:r>
        <w:rPr>
          <w:noProof/>
        </w:rPr>
        <w:drawing>
          <wp:anchor distT="114300" distB="114300" distL="114300" distR="114300" simplePos="0" relativeHeight="251660288" behindDoc="0" locked="0" layoutInCell="1" hidden="0" allowOverlap="1" wp14:anchorId="6D3EA4DE" wp14:editId="1747C885">
            <wp:simplePos x="0" y="0"/>
            <wp:positionH relativeFrom="column">
              <wp:posOffset>1</wp:posOffset>
            </wp:positionH>
            <wp:positionV relativeFrom="paragraph">
              <wp:posOffset>114300</wp:posOffset>
            </wp:positionV>
            <wp:extent cx="2809875" cy="1716644"/>
            <wp:effectExtent l="0" t="0" r="0" b="0"/>
            <wp:wrapTopAndBottom distT="114300" distB="114300"/>
            <wp:docPr id="1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2809875" cy="1716644"/>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37E45123" wp14:editId="4D0975BE">
            <wp:simplePos x="0" y="0"/>
            <wp:positionH relativeFrom="column">
              <wp:posOffset>3209925</wp:posOffset>
            </wp:positionH>
            <wp:positionV relativeFrom="paragraph">
              <wp:posOffset>114300</wp:posOffset>
            </wp:positionV>
            <wp:extent cx="2609850" cy="1730340"/>
            <wp:effectExtent l="0" t="0" r="0" b="0"/>
            <wp:wrapTopAndBottom distT="114300" distB="11430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2609850" cy="1730340"/>
                    </a:xfrm>
                    <a:prstGeom prst="rect">
                      <a:avLst/>
                    </a:prstGeom>
                    <a:ln/>
                  </pic:spPr>
                </pic:pic>
              </a:graphicData>
            </a:graphic>
          </wp:anchor>
        </w:drawing>
      </w:r>
    </w:p>
    <w:p w14:paraId="6A208A32" w14:textId="77777777" w:rsidR="00340A38" w:rsidRDefault="00000000">
      <w:pPr>
        <w:pStyle w:val="Heading3"/>
        <w:spacing w:line="480" w:lineRule="auto"/>
      </w:pPr>
      <w:bookmarkStart w:id="23" w:name="_pff9dln4imc0" w:colFirst="0" w:colLast="0"/>
      <w:bookmarkEnd w:id="23"/>
      <w:r>
        <w:t xml:space="preserve">4.4.2 Factor Analysis </w:t>
      </w:r>
    </w:p>
    <w:p w14:paraId="7D628803" w14:textId="77777777" w:rsidR="00340A38" w:rsidRDefault="00000000">
      <w:pPr>
        <w:spacing w:line="480" w:lineRule="auto"/>
        <w:jc w:val="both"/>
      </w:pPr>
      <w:r>
        <w:t>Since there may be some unobserved variables related to these features of each level, we also applied FA (Factor analysis) analysis to reduce our dimensionality, a statistical method used to describe variability among observed, correlated variables in terms of a potentially lower number of unobserved variables (</w:t>
      </w:r>
      <w:proofErr w:type="spellStart"/>
      <w:r>
        <w:t>Rummel</w:t>
      </w:r>
      <w:proofErr w:type="spellEnd"/>
      <w:r>
        <w:t xml:space="preserve">, 1988). Based on our results, according to Kaiser (1960), only the factor with an eigenvalue larger than 1 would be considered meaningful, for the CEO index, we still need 2 factors, which is a similar result as PCA. For the BOD index, FA recommends only one factor while institutional investors need two factors. </w:t>
      </w:r>
    </w:p>
    <w:p w14:paraId="4808D1DA" w14:textId="77777777" w:rsidR="00340A38" w:rsidRDefault="00000000">
      <w:pPr>
        <w:spacing w:after="0"/>
        <w:jc w:val="center"/>
        <w:rPr>
          <w:b/>
          <w:sz w:val="18"/>
          <w:szCs w:val="18"/>
        </w:rPr>
      </w:pPr>
      <w:r>
        <w:rPr>
          <w:b/>
          <w:noProof/>
          <w:sz w:val="18"/>
          <w:szCs w:val="18"/>
        </w:rPr>
        <w:drawing>
          <wp:inline distT="114300" distB="114300" distL="114300" distR="114300" wp14:anchorId="7EF6E58B" wp14:editId="60D0F86F">
            <wp:extent cx="2543175" cy="2038659"/>
            <wp:effectExtent l="0" t="0" r="0" b="0"/>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2543175" cy="2038659"/>
                    </a:xfrm>
                    <a:prstGeom prst="rect">
                      <a:avLst/>
                    </a:prstGeom>
                    <a:ln/>
                  </pic:spPr>
                </pic:pic>
              </a:graphicData>
            </a:graphic>
          </wp:inline>
        </w:drawing>
      </w:r>
    </w:p>
    <w:p w14:paraId="15676E4A" w14:textId="77777777" w:rsidR="00340A38" w:rsidRDefault="00000000">
      <w:pPr>
        <w:spacing w:after="0"/>
        <w:jc w:val="center"/>
        <w:rPr>
          <w:b/>
          <w:sz w:val="18"/>
          <w:szCs w:val="18"/>
        </w:rPr>
      </w:pPr>
      <w:r>
        <w:rPr>
          <w:b/>
          <w:sz w:val="18"/>
          <w:szCs w:val="18"/>
        </w:rPr>
        <w:t>Figure 9. Eigenvalues of factor analysis for CEO</w:t>
      </w:r>
    </w:p>
    <w:p w14:paraId="3BFEDB69" w14:textId="77777777" w:rsidR="00340A38" w:rsidRDefault="00000000">
      <w:pPr>
        <w:spacing w:after="0"/>
        <w:jc w:val="center"/>
        <w:rPr>
          <w:b/>
          <w:sz w:val="18"/>
          <w:szCs w:val="18"/>
        </w:rPr>
      </w:pPr>
      <w:r>
        <w:rPr>
          <w:b/>
          <w:noProof/>
          <w:sz w:val="18"/>
          <w:szCs w:val="18"/>
        </w:rPr>
        <w:lastRenderedPageBreak/>
        <w:drawing>
          <wp:inline distT="114300" distB="114300" distL="114300" distR="114300" wp14:anchorId="4BD7AC97" wp14:editId="2C04F6C5">
            <wp:extent cx="2847975" cy="2290124"/>
            <wp:effectExtent l="0" t="0" r="0" b="0"/>
            <wp:docPr id="1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4"/>
                    <a:srcRect/>
                    <a:stretch>
                      <a:fillRect/>
                    </a:stretch>
                  </pic:blipFill>
                  <pic:spPr>
                    <a:xfrm>
                      <a:off x="0" y="0"/>
                      <a:ext cx="2847975" cy="2290124"/>
                    </a:xfrm>
                    <a:prstGeom prst="rect">
                      <a:avLst/>
                    </a:prstGeom>
                    <a:ln/>
                  </pic:spPr>
                </pic:pic>
              </a:graphicData>
            </a:graphic>
          </wp:inline>
        </w:drawing>
      </w:r>
    </w:p>
    <w:p w14:paraId="3B340C68" w14:textId="77777777" w:rsidR="00340A38" w:rsidRDefault="00000000">
      <w:pPr>
        <w:spacing w:after="0"/>
        <w:jc w:val="center"/>
        <w:rPr>
          <w:b/>
          <w:sz w:val="18"/>
          <w:szCs w:val="18"/>
        </w:rPr>
      </w:pPr>
      <w:r>
        <w:rPr>
          <w:b/>
          <w:sz w:val="18"/>
          <w:szCs w:val="18"/>
        </w:rPr>
        <w:t>Figure 10. Eigenvalues of factor analysis for BOD</w:t>
      </w:r>
    </w:p>
    <w:p w14:paraId="56CCD3A3" w14:textId="77777777" w:rsidR="00340A38" w:rsidRDefault="00000000">
      <w:pPr>
        <w:spacing w:after="0" w:line="480" w:lineRule="auto"/>
        <w:jc w:val="both"/>
      </w:pPr>
      <w:r>
        <w:t xml:space="preserve">Therefore, based on our PCA, since both CEO power and Institutional Investor power need two factors to illustrate, we would conduct the regression analysis and preserve the statistically significant ones. </w:t>
      </w:r>
    </w:p>
    <w:p w14:paraId="09E5BC20" w14:textId="77777777" w:rsidR="002030EC" w:rsidRDefault="002030EC">
      <w:pPr>
        <w:spacing w:after="0"/>
      </w:pPr>
    </w:p>
    <w:p w14:paraId="540D88FD" w14:textId="0199F201" w:rsidR="00340A38" w:rsidRDefault="00000000">
      <w:pPr>
        <w:spacing w:after="0"/>
      </w:pPr>
      <w:r>
        <w:rPr>
          <w:b/>
          <w:sz w:val="20"/>
          <w:szCs w:val="20"/>
        </w:rPr>
        <w:t>Table 3</w:t>
      </w:r>
    </w:p>
    <w:tbl>
      <w:tblPr>
        <w:tblStyle w:val="a6"/>
        <w:tblW w:w="8910" w:type="dxa"/>
        <w:tblBorders>
          <w:top w:val="nil"/>
          <w:left w:val="nil"/>
          <w:bottom w:val="nil"/>
          <w:right w:val="nil"/>
          <w:insideH w:val="nil"/>
          <w:insideV w:val="nil"/>
        </w:tblBorders>
        <w:tblLayout w:type="fixed"/>
        <w:tblLook w:val="0600" w:firstRow="0" w:lastRow="0" w:firstColumn="0" w:lastColumn="0" w:noHBand="1" w:noVBand="1"/>
      </w:tblPr>
      <w:tblGrid>
        <w:gridCol w:w="4785"/>
        <w:gridCol w:w="1350"/>
        <w:gridCol w:w="1365"/>
        <w:gridCol w:w="1410"/>
      </w:tblGrid>
      <w:tr w:rsidR="00340A38" w14:paraId="03FA800E" w14:textId="77777777">
        <w:tc>
          <w:tcPr>
            <w:tcW w:w="4785" w:type="dxa"/>
            <w:tcBorders>
              <w:top w:val="nil"/>
              <w:left w:val="nil"/>
              <w:bottom w:val="nil"/>
              <w:right w:val="nil"/>
            </w:tcBorders>
            <w:tcMar>
              <w:top w:w="-411" w:type="dxa"/>
              <w:left w:w="-411" w:type="dxa"/>
              <w:bottom w:w="-411" w:type="dxa"/>
              <w:right w:w="-411" w:type="dxa"/>
            </w:tcMar>
            <w:vAlign w:val="center"/>
          </w:tcPr>
          <w:p w14:paraId="264D3232" w14:textId="77777777" w:rsidR="00340A38" w:rsidRDefault="00000000" w:rsidP="00520A60">
            <w:pPr>
              <w:spacing w:after="0"/>
              <w:rPr>
                <w:sz w:val="18"/>
                <w:szCs w:val="18"/>
              </w:rPr>
            </w:pPr>
            <w:r w:rsidRPr="00520A60">
              <w:rPr>
                <w:b/>
                <w:sz w:val="18"/>
                <w:szCs w:val="18"/>
              </w:rPr>
              <w:t xml:space="preserve">Panel A: </w:t>
            </w:r>
            <w:proofErr w:type="gramStart"/>
            <w:r w:rsidRPr="00520A60">
              <w:rPr>
                <w:b/>
                <w:sz w:val="18"/>
                <w:szCs w:val="18"/>
              </w:rPr>
              <w:t>Principle</w:t>
            </w:r>
            <w:proofErr w:type="gramEnd"/>
            <w:r w:rsidRPr="00520A60">
              <w:rPr>
                <w:b/>
                <w:sz w:val="18"/>
                <w:szCs w:val="18"/>
              </w:rPr>
              <w:t xml:space="preserve"> component weight for CEO power</w:t>
            </w:r>
          </w:p>
        </w:tc>
        <w:tc>
          <w:tcPr>
            <w:tcW w:w="1350" w:type="dxa"/>
            <w:tcBorders>
              <w:top w:val="nil"/>
              <w:left w:val="nil"/>
              <w:bottom w:val="nil"/>
              <w:right w:val="nil"/>
            </w:tcBorders>
            <w:tcMar>
              <w:top w:w="-411" w:type="dxa"/>
              <w:left w:w="-411" w:type="dxa"/>
              <w:bottom w:w="-411" w:type="dxa"/>
              <w:right w:w="-411" w:type="dxa"/>
            </w:tcMar>
            <w:vAlign w:val="center"/>
          </w:tcPr>
          <w:p w14:paraId="7A8B6B4C" w14:textId="77777777" w:rsidR="00340A38" w:rsidRDefault="00340A38">
            <w:pPr>
              <w:spacing w:after="0" w:line="276" w:lineRule="auto"/>
              <w:rPr>
                <w:sz w:val="18"/>
                <w:szCs w:val="18"/>
              </w:rPr>
            </w:pPr>
          </w:p>
        </w:tc>
        <w:tc>
          <w:tcPr>
            <w:tcW w:w="1365" w:type="dxa"/>
            <w:tcBorders>
              <w:top w:val="nil"/>
              <w:left w:val="nil"/>
              <w:bottom w:val="nil"/>
              <w:right w:val="nil"/>
            </w:tcBorders>
            <w:tcMar>
              <w:top w:w="-411" w:type="dxa"/>
              <w:left w:w="-411" w:type="dxa"/>
              <w:bottom w:w="-411" w:type="dxa"/>
              <w:right w:w="-411" w:type="dxa"/>
            </w:tcMar>
            <w:vAlign w:val="center"/>
          </w:tcPr>
          <w:p w14:paraId="51A03938" w14:textId="77777777" w:rsidR="00340A38" w:rsidRDefault="00340A38">
            <w:pPr>
              <w:spacing w:after="0" w:line="276" w:lineRule="auto"/>
              <w:rPr>
                <w:sz w:val="18"/>
                <w:szCs w:val="18"/>
              </w:rPr>
            </w:pPr>
          </w:p>
        </w:tc>
        <w:tc>
          <w:tcPr>
            <w:tcW w:w="1410" w:type="dxa"/>
            <w:tcBorders>
              <w:top w:val="nil"/>
              <w:left w:val="nil"/>
              <w:bottom w:val="nil"/>
              <w:right w:val="nil"/>
            </w:tcBorders>
            <w:tcMar>
              <w:top w:w="-411" w:type="dxa"/>
              <w:left w:w="-411" w:type="dxa"/>
              <w:bottom w:w="-411" w:type="dxa"/>
              <w:right w:w="-411" w:type="dxa"/>
            </w:tcMar>
            <w:vAlign w:val="center"/>
          </w:tcPr>
          <w:p w14:paraId="0AC007DE" w14:textId="77777777" w:rsidR="00340A38" w:rsidRDefault="00340A38">
            <w:pPr>
              <w:spacing w:after="0" w:line="276" w:lineRule="auto"/>
              <w:rPr>
                <w:sz w:val="18"/>
                <w:szCs w:val="18"/>
              </w:rPr>
            </w:pPr>
          </w:p>
        </w:tc>
      </w:tr>
      <w:tr w:rsidR="00340A38" w14:paraId="2BF22278" w14:textId="77777777">
        <w:trPr>
          <w:trHeight w:val="223"/>
        </w:trPr>
        <w:tc>
          <w:tcPr>
            <w:tcW w:w="4785" w:type="dxa"/>
            <w:tcBorders>
              <w:top w:val="nil"/>
              <w:left w:val="nil"/>
              <w:bottom w:val="single" w:sz="4" w:space="0" w:color="000000"/>
              <w:right w:val="nil"/>
            </w:tcBorders>
            <w:tcMar>
              <w:top w:w="-411" w:type="dxa"/>
              <w:left w:w="-411" w:type="dxa"/>
              <w:bottom w:w="-411" w:type="dxa"/>
              <w:right w:w="-411" w:type="dxa"/>
            </w:tcMar>
            <w:vAlign w:val="center"/>
          </w:tcPr>
          <w:p w14:paraId="3C0F599A" w14:textId="77777777" w:rsidR="00340A38" w:rsidRDefault="00000000">
            <w:pPr>
              <w:spacing w:after="0" w:line="276" w:lineRule="auto"/>
              <w:rPr>
                <w:sz w:val="18"/>
                <w:szCs w:val="18"/>
              </w:rPr>
            </w:pPr>
            <w:r>
              <w:rPr>
                <w:sz w:val="18"/>
                <w:szCs w:val="18"/>
              </w:rPr>
              <w:t>Principal component</w:t>
            </w:r>
          </w:p>
        </w:tc>
        <w:tc>
          <w:tcPr>
            <w:tcW w:w="1350" w:type="dxa"/>
            <w:tcBorders>
              <w:top w:val="nil"/>
              <w:left w:val="nil"/>
              <w:bottom w:val="single" w:sz="4" w:space="0" w:color="000000"/>
              <w:right w:val="nil"/>
            </w:tcBorders>
            <w:tcMar>
              <w:top w:w="-411" w:type="dxa"/>
              <w:left w:w="-411" w:type="dxa"/>
              <w:bottom w:w="-411" w:type="dxa"/>
              <w:right w:w="-411" w:type="dxa"/>
            </w:tcMar>
            <w:vAlign w:val="center"/>
          </w:tcPr>
          <w:p w14:paraId="33ED2B7C" w14:textId="77777777" w:rsidR="00340A38" w:rsidRDefault="00000000">
            <w:pPr>
              <w:spacing w:after="0" w:line="276" w:lineRule="auto"/>
              <w:rPr>
                <w:sz w:val="18"/>
                <w:szCs w:val="18"/>
              </w:rPr>
            </w:pPr>
            <w:r>
              <w:rPr>
                <w:sz w:val="18"/>
                <w:szCs w:val="18"/>
              </w:rPr>
              <w:t>Eigenvalues</w:t>
            </w:r>
          </w:p>
        </w:tc>
        <w:tc>
          <w:tcPr>
            <w:tcW w:w="1365" w:type="dxa"/>
            <w:tcBorders>
              <w:top w:val="nil"/>
              <w:left w:val="nil"/>
              <w:bottom w:val="single" w:sz="4" w:space="0" w:color="000000"/>
              <w:right w:val="nil"/>
            </w:tcBorders>
            <w:tcMar>
              <w:top w:w="-411" w:type="dxa"/>
              <w:left w:w="-411" w:type="dxa"/>
              <w:bottom w:w="-411" w:type="dxa"/>
              <w:right w:w="-411" w:type="dxa"/>
            </w:tcMar>
            <w:vAlign w:val="center"/>
          </w:tcPr>
          <w:p w14:paraId="2CA9F2EA" w14:textId="77777777" w:rsidR="00340A38" w:rsidRDefault="00000000">
            <w:pPr>
              <w:spacing w:after="0" w:line="276" w:lineRule="auto"/>
              <w:rPr>
                <w:sz w:val="18"/>
                <w:szCs w:val="18"/>
              </w:rPr>
            </w:pPr>
            <w:r>
              <w:rPr>
                <w:sz w:val="18"/>
                <w:szCs w:val="18"/>
              </w:rPr>
              <w:t>% of variance</w:t>
            </w:r>
          </w:p>
        </w:tc>
        <w:tc>
          <w:tcPr>
            <w:tcW w:w="1410" w:type="dxa"/>
            <w:tcBorders>
              <w:top w:val="nil"/>
              <w:left w:val="nil"/>
              <w:bottom w:val="single" w:sz="4" w:space="0" w:color="000000"/>
              <w:right w:val="nil"/>
            </w:tcBorders>
            <w:tcMar>
              <w:top w:w="-411" w:type="dxa"/>
              <w:left w:w="-411" w:type="dxa"/>
              <w:bottom w:w="-411" w:type="dxa"/>
              <w:right w:w="-411" w:type="dxa"/>
            </w:tcMar>
            <w:vAlign w:val="center"/>
          </w:tcPr>
          <w:p w14:paraId="0ED8BDB3" w14:textId="77777777" w:rsidR="00340A38" w:rsidRDefault="00000000">
            <w:pPr>
              <w:spacing w:after="0" w:line="276" w:lineRule="auto"/>
              <w:rPr>
                <w:sz w:val="18"/>
                <w:szCs w:val="18"/>
              </w:rPr>
            </w:pPr>
            <w:r>
              <w:rPr>
                <w:sz w:val="18"/>
                <w:szCs w:val="18"/>
              </w:rPr>
              <w:t>Cumulative %</w:t>
            </w:r>
          </w:p>
        </w:tc>
      </w:tr>
      <w:tr w:rsidR="00340A38" w14:paraId="4013AA02" w14:textId="77777777">
        <w:tc>
          <w:tcPr>
            <w:tcW w:w="4785" w:type="dxa"/>
            <w:tcBorders>
              <w:top w:val="single" w:sz="4" w:space="0" w:color="000000"/>
              <w:left w:val="nil"/>
              <w:bottom w:val="nil"/>
              <w:right w:val="nil"/>
            </w:tcBorders>
            <w:tcMar>
              <w:top w:w="-411" w:type="dxa"/>
              <w:left w:w="-411" w:type="dxa"/>
              <w:bottom w:w="-411" w:type="dxa"/>
              <w:right w:w="-411" w:type="dxa"/>
            </w:tcMar>
            <w:vAlign w:val="center"/>
          </w:tcPr>
          <w:p w14:paraId="0321100B" w14:textId="77777777" w:rsidR="00340A38" w:rsidRDefault="00000000">
            <w:pPr>
              <w:spacing w:after="0" w:line="276" w:lineRule="auto"/>
              <w:rPr>
                <w:sz w:val="18"/>
                <w:szCs w:val="18"/>
              </w:rPr>
            </w:pPr>
            <w:r>
              <w:rPr>
                <w:sz w:val="18"/>
                <w:szCs w:val="18"/>
              </w:rPr>
              <w:t>1</w:t>
            </w:r>
          </w:p>
        </w:tc>
        <w:tc>
          <w:tcPr>
            <w:tcW w:w="1350" w:type="dxa"/>
            <w:tcBorders>
              <w:top w:val="single" w:sz="4" w:space="0" w:color="000000"/>
              <w:left w:val="nil"/>
              <w:bottom w:val="nil"/>
              <w:right w:val="nil"/>
            </w:tcBorders>
            <w:tcMar>
              <w:top w:w="-411" w:type="dxa"/>
              <w:left w:w="-411" w:type="dxa"/>
              <w:bottom w:w="-411" w:type="dxa"/>
              <w:right w:w="-411" w:type="dxa"/>
            </w:tcMar>
            <w:vAlign w:val="center"/>
          </w:tcPr>
          <w:p w14:paraId="26711D2F" w14:textId="77777777" w:rsidR="00340A38" w:rsidRDefault="00000000">
            <w:pPr>
              <w:spacing w:after="0" w:line="276" w:lineRule="auto"/>
              <w:rPr>
                <w:sz w:val="18"/>
                <w:szCs w:val="18"/>
              </w:rPr>
            </w:pPr>
            <w:r>
              <w:rPr>
                <w:sz w:val="18"/>
                <w:szCs w:val="18"/>
              </w:rPr>
              <w:t xml:space="preserve">1.627 </w:t>
            </w:r>
          </w:p>
        </w:tc>
        <w:tc>
          <w:tcPr>
            <w:tcW w:w="1365" w:type="dxa"/>
            <w:tcBorders>
              <w:top w:val="single" w:sz="4" w:space="0" w:color="000000"/>
              <w:left w:val="nil"/>
              <w:bottom w:val="nil"/>
              <w:right w:val="nil"/>
            </w:tcBorders>
            <w:tcMar>
              <w:top w:w="-411" w:type="dxa"/>
              <w:left w:w="-411" w:type="dxa"/>
              <w:bottom w:w="-411" w:type="dxa"/>
              <w:right w:w="-411" w:type="dxa"/>
            </w:tcMar>
            <w:vAlign w:val="center"/>
          </w:tcPr>
          <w:p w14:paraId="5C796DD7" w14:textId="77777777" w:rsidR="00340A38" w:rsidRDefault="00000000">
            <w:pPr>
              <w:spacing w:after="0" w:line="276" w:lineRule="auto"/>
              <w:rPr>
                <w:sz w:val="18"/>
                <w:szCs w:val="18"/>
              </w:rPr>
            </w:pPr>
            <w:r>
              <w:rPr>
                <w:sz w:val="18"/>
                <w:szCs w:val="18"/>
              </w:rPr>
              <w:t xml:space="preserve">0.325 </w:t>
            </w:r>
          </w:p>
        </w:tc>
        <w:tc>
          <w:tcPr>
            <w:tcW w:w="1410" w:type="dxa"/>
            <w:tcBorders>
              <w:top w:val="single" w:sz="4" w:space="0" w:color="000000"/>
              <w:left w:val="nil"/>
              <w:bottom w:val="nil"/>
              <w:right w:val="nil"/>
            </w:tcBorders>
            <w:tcMar>
              <w:top w:w="-411" w:type="dxa"/>
              <w:left w:w="-411" w:type="dxa"/>
              <w:bottom w:w="-411" w:type="dxa"/>
              <w:right w:w="-411" w:type="dxa"/>
            </w:tcMar>
            <w:vAlign w:val="center"/>
          </w:tcPr>
          <w:p w14:paraId="3977B2D0" w14:textId="77777777" w:rsidR="00340A38" w:rsidRDefault="00000000">
            <w:pPr>
              <w:spacing w:after="0" w:line="276" w:lineRule="auto"/>
              <w:rPr>
                <w:sz w:val="18"/>
                <w:szCs w:val="18"/>
              </w:rPr>
            </w:pPr>
            <w:r>
              <w:rPr>
                <w:sz w:val="18"/>
                <w:szCs w:val="18"/>
              </w:rPr>
              <w:t xml:space="preserve">0.325 </w:t>
            </w:r>
          </w:p>
        </w:tc>
      </w:tr>
      <w:tr w:rsidR="00340A38" w14:paraId="26A42A2C" w14:textId="77777777">
        <w:tc>
          <w:tcPr>
            <w:tcW w:w="4785" w:type="dxa"/>
            <w:tcBorders>
              <w:top w:val="nil"/>
              <w:left w:val="nil"/>
              <w:bottom w:val="nil"/>
              <w:right w:val="nil"/>
            </w:tcBorders>
            <w:tcMar>
              <w:top w:w="-411" w:type="dxa"/>
              <w:left w:w="-411" w:type="dxa"/>
              <w:bottom w:w="-411" w:type="dxa"/>
              <w:right w:w="-411" w:type="dxa"/>
            </w:tcMar>
            <w:vAlign w:val="center"/>
          </w:tcPr>
          <w:p w14:paraId="4D6DDD67" w14:textId="77777777" w:rsidR="00340A38" w:rsidRDefault="00000000">
            <w:pPr>
              <w:spacing w:after="0" w:line="276" w:lineRule="auto"/>
              <w:rPr>
                <w:sz w:val="18"/>
                <w:szCs w:val="18"/>
              </w:rPr>
            </w:pPr>
            <w:r>
              <w:rPr>
                <w:sz w:val="18"/>
                <w:szCs w:val="18"/>
              </w:rPr>
              <w:t>2</w:t>
            </w:r>
          </w:p>
        </w:tc>
        <w:tc>
          <w:tcPr>
            <w:tcW w:w="1350" w:type="dxa"/>
            <w:tcBorders>
              <w:top w:val="nil"/>
              <w:left w:val="nil"/>
              <w:bottom w:val="nil"/>
              <w:right w:val="nil"/>
            </w:tcBorders>
            <w:tcMar>
              <w:top w:w="-411" w:type="dxa"/>
              <w:left w:w="-411" w:type="dxa"/>
              <w:bottom w:w="-411" w:type="dxa"/>
              <w:right w:w="-411" w:type="dxa"/>
            </w:tcMar>
            <w:vAlign w:val="center"/>
          </w:tcPr>
          <w:p w14:paraId="0AD3879F" w14:textId="77777777" w:rsidR="00340A38" w:rsidRDefault="00000000">
            <w:pPr>
              <w:spacing w:after="0" w:line="276" w:lineRule="auto"/>
              <w:rPr>
                <w:sz w:val="18"/>
                <w:szCs w:val="18"/>
              </w:rPr>
            </w:pPr>
            <w:r>
              <w:rPr>
                <w:sz w:val="18"/>
                <w:szCs w:val="18"/>
              </w:rPr>
              <w:t xml:space="preserve">1.035 </w:t>
            </w:r>
          </w:p>
        </w:tc>
        <w:tc>
          <w:tcPr>
            <w:tcW w:w="1365" w:type="dxa"/>
            <w:tcBorders>
              <w:top w:val="nil"/>
              <w:left w:val="nil"/>
              <w:bottom w:val="nil"/>
              <w:right w:val="nil"/>
            </w:tcBorders>
            <w:tcMar>
              <w:top w:w="-411" w:type="dxa"/>
              <w:left w:w="-411" w:type="dxa"/>
              <w:bottom w:w="-411" w:type="dxa"/>
              <w:right w:w="-411" w:type="dxa"/>
            </w:tcMar>
            <w:vAlign w:val="center"/>
          </w:tcPr>
          <w:p w14:paraId="70069203" w14:textId="77777777" w:rsidR="00340A38" w:rsidRDefault="00000000">
            <w:pPr>
              <w:spacing w:after="0" w:line="276" w:lineRule="auto"/>
              <w:rPr>
                <w:sz w:val="18"/>
                <w:szCs w:val="18"/>
              </w:rPr>
            </w:pPr>
            <w:r>
              <w:rPr>
                <w:sz w:val="18"/>
                <w:szCs w:val="18"/>
              </w:rPr>
              <w:t xml:space="preserve">0.207 </w:t>
            </w:r>
          </w:p>
        </w:tc>
        <w:tc>
          <w:tcPr>
            <w:tcW w:w="1410" w:type="dxa"/>
            <w:tcBorders>
              <w:top w:val="nil"/>
              <w:left w:val="nil"/>
              <w:bottom w:val="nil"/>
              <w:right w:val="nil"/>
            </w:tcBorders>
            <w:tcMar>
              <w:top w:w="-411" w:type="dxa"/>
              <w:left w:w="-411" w:type="dxa"/>
              <w:bottom w:w="-411" w:type="dxa"/>
              <w:right w:w="-411" w:type="dxa"/>
            </w:tcMar>
            <w:vAlign w:val="center"/>
          </w:tcPr>
          <w:p w14:paraId="471C6038" w14:textId="77777777" w:rsidR="00340A38" w:rsidRDefault="00000000">
            <w:pPr>
              <w:spacing w:after="0" w:line="276" w:lineRule="auto"/>
              <w:rPr>
                <w:sz w:val="18"/>
                <w:szCs w:val="18"/>
              </w:rPr>
            </w:pPr>
            <w:r>
              <w:rPr>
                <w:sz w:val="18"/>
                <w:szCs w:val="18"/>
              </w:rPr>
              <w:t xml:space="preserve">0.532 </w:t>
            </w:r>
          </w:p>
        </w:tc>
      </w:tr>
      <w:tr w:rsidR="00340A38" w14:paraId="5FC4B3D8" w14:textId="77777777">
        <w:tc>
          <w:tcPr>
            <w:tcW w:w="4785" w:type="dxa"/>
            <w:tcBorders>
              <w:top w:val="nil"/>
              <w:left w:val="nil"/>
              <w:bottom w:val="nil"/>
              <w:right w:val="nil"/>
            </w:tcBorders>
            <w:tcMar>
              <w:top w:w="-411" w:type="dxa"/>
              <w:left w:w="-411" w:type="dxa"/>
              <w:bottom w:w="-411" w:type="dxa"/>
              <w:right w:w="-411" w:type="dxa"/>
            </w:tcMar>
            <w:vAlign w:val="center"/>
          </w:tcPr>
          <w:p w14:paraId="02F2AE0F" w14:textId="77777777" w:rsidR="00340A38" w:rsidRDefault="00000000">
            <w:pPr>
              <w:spacing w:after="0" w:line="276" w:lineRule="auto"/>
              <w:rPr>
                <w:sz w:val="18"/>
                <w:szCs w:val="18"/>
              </w:rPr>
            </w:pPr>
            <w:r>
              <w:rPr>
                <w:sz w:val="18"/>
                <w:szCs w:val="18"/>
              </w:rPr>
              <w:t>3</w:t>
            </w:r>
          </w:p>
        </w:tc>
        <w:tc>
          <w:tcPr>
            <w:tcW w:w="1350" w:type="dxa"/>
            <w:tcBorders>
              <w:top w:val="nil"/>
              <w:left w:val="nil"/>
              <w:bottom w:val="nil"/>
              <w:right w:val="nil"/>
            </w:tcBorders>
            <w:tcMar>
              <w:top w:w="-411" w:type="dxa"/>
              <w:left w:w="-411" w:type="dxa"/>
              <w:bottom w:w="-411" w:type="dxa"/>
              <w:right w:w="-411" w:type="dxa"/>
            </w:tcMar>
            <w:vAlign w:val="center"/>
          </w:tcPr>
          <w:p w14:paraId="330C2149" w14:textId="77777777" w:rsidR="00340A38" w:rsidRDefault="00000000">
            <w:pPr>
              <w:spacing w:after="0" w:line="276" w:lineRule="auto"/>
              <w:rPr>
                <w:sz w:val="18"/>
                <w:szCs w:val="18"/>
              </w:rPr>
            </w:pPr>
            <w:r>
              <w:rPr>
                <w:sz w:val="18"/>
                <w:szCs w:val="18"/>
              </w:rPr>
              <w:t xml:space="preserve">0.929 </w:t>
            </w:r>
          </w:p>
        </w:tc>
        <w:tc>
          <w:tcPr>
            <w:tcW w:w="1365" w:type="dxa"/>
            <w:tcBorders>
              <w:top w:val="nil"/>
              <w:left w:val="nil"/>
              <w:bottom w:val="nil"/>
              <w:right w:val="nil"/>
            </w:tcBorders>
            <w:tcMar>
              <w:top w:w="-411" w:type="dxa"/>
              <w:left w:w="-411" w:type="dxa"/>
              <w:bottom w:w="-411" w:type="dxa"/>
              <w:right w:w="-411" w:type="dxa"/>
            </w:tcMar>
            <w:vAlign w:val="center"/>
          </w:tcPr>
          <w:p w14:paraId="7365AAF6" w14:textId="77777777" w:rsidR="00340A38" w:rsidRDefault="00000000">
            <w:pPr>
              <w:spacing w:after="0" w:line="276" w:lineRule="auto"/>
              <w:rPr>
                <w:sz w:val="18"/>
                <w:szCs w:val="18"/>
              </w:rPr>
            </w:pPr>
            <w:r>
              <w:rPr>
                <w:sz w:val="18"/>
                <w:szCs w:val="18"/>
              </w:rPr>
              <w:t xml:space="preserve">0.186 </w:t>
            </w:r>
          </w:p>
        </w:tc>
        <w:tc>
          <w:tcPr>
            <w:tcW w:w="1410" w:type="dxa"/>
            <w:tcBorders>
              <w:top w:val="nil"/>
              <w:left w:val="nil"/>
              <w:bottom w:val="nil"/>
              <w:right w:val="nil"/>
            </w:tcBorders>
            <w:tcMar>
              <w:top w:w="-411" w:type="dxa"/>
              <w:left w:w="-411" w:type="dxa"/>
              <w:bottom w:w="-411" w:type="dxa"/>
              <w:right w:w="-411" w:type="dxa"/>
            </w:tcMar>
            <w:vAlign w:val="center"/>
          </w:tcPr>
          <w:p w14:paraId="1E5C8E1D" w14:textId="77777777" w:rsidR="00340A38" w:rsidRDefault="00000000">
            <w:pPr>
              <w:spacing w:after="0" w:line="276" w:lineRule="auto"/>
              <w:rPr>
                <w:sz w:val="18"/>
                <w:szCs w:val="18"/>
              </w:rPr>
            </w:pPr>
            <w:r>
              <w:rPr>
                <w:sz w:val="18"/>
                <w:szCs w:val="18"/>
              </w:rPr>
              <w:t xml:space="preserve">0.718 </w:t>
            </w:r>
          </w:p>
        </w:tc>
      </w:tr>
      <w:tr w:rsidR="00340A38" w14:paraId="1D7C5984" w14:textId="77777777">
        <w:tc>
          <w:tcPr>
            <w:tcW w:w="4785" w:type="dxa"/>
            <w:tcBorders>
              <w:top w:val="nil"/>
              <w:left w:val="nil"/>
              <w:bottom w:val="nil"/>
              <w:right w:val="nil"/>
            </w:tcBorders>
            <w:tcMar>
              <w:top w:w="-411" w:type="dxa"/>
              <w:left w:w="-411" w:type="dxa"/>
              <w:bottom w:w="-411" w:type="dxa"/>
              <w:right w:w="-411" w:type="dxa"/>
            </w:tcMar>
            <w:vAlign w:val="center"/>
          </w:tcPr>
          <w:p w14:paraId="18343FFC" w14:textId="77777777" w:rsidR="00340A38" w:rsidRDefault="00000000">
            <w:pPr>
              <w:spacing w:after="0" w:line="276" w:lineRule="auto"/>
              <w:rPr>
                <w:sz w:val="18"/>
                <w:szCs w:val="18"/>
              </w:rPr>
            </w:pPr>
            <w:r>
              <w:rPr>
                <w:sz w:val="18"/>
                <w:szCs w:val="18"/>
              </w:rPr>
              <w:t>4</w:t>
            </w:r>
          </w:p>
        </w:tc>
        <w:tc>
          <w:tcPr>
            <w:tcW w:w="1350" w:type="dxa"/>
            <w:tcBorders>
              <w:top w:val="nil"/>
              <w:left w:val="nil"/>
              <w:bottom w:val="nil"/>
              <w:right w:val="nil"/>
            </w:tcBorders>
            <w:tcMar>
              <w:top w:w="-411" w:type="dxa"/>
              <w:left w:w="-411" w:type="dxa"/>
              <w:bottom w:w="-411" w:type="dxa"/>
              <w:right w:w="-411" w:type="dxa"/>
            </w:tcMar>
            <w:vAlign w:val="center"/>
          </w:tcPr>
          <w:p w14:paraId="27876A35" w14:textId="77777777" w:rsidR="00340A38" w:rsidRDefault="00000000">
            <w:pPr>
              <w:spacing w:after="0" w:line="276" w:lineRule="auto"/>
              <w:rPr>
                <w:sz w:val="18"/>
                <w:szCs w:val="18"/>
              </w:rPr>
            </w:pPr>
            <w:r>
              <w:rPr>
                <w:sz w:val="18"/>
                <w:szCs w:val="18"/>
              </w:rPr>
              <w:t xml:space="preserve">0.795 </w:t>
            </w:r>
          </w:p>
        </w:tc>
        <w:tc>
          <w:tcPr>
            <w:tcW w:w="1365" w:type="dxa"/>
            <w:tcBorders>
              <w:top w:val="nil"/>
              <w:left w:val="nil"/>
              <w:bottom w:val="nil"/>
              <w:right w:val="nil"/>
            </w:tcBorders>
            <w:tcMar>
              <w:top w:w="-411" w:type="dxa"/>
              <w:left w:w="-411" w:type="dxa"/>
              <w:bottom w:w="-411" w:type="dxa"/>
              <w:right w:w="-411" w:type="dxa"/>
            </w:tcMar>
            <w:vAlign w:val="center"/>
          </w:tcPr>
          <w:p w14:paraId="11024DEC" w14:textId="77777777" w:rsidR="00340A38" w:rsidRDefault="00000000">
            <w:pPr>
              <w:spacing w:after="0" w:line="276" w:lineRule="auto"/>
              <w:rPr>
                <w:sz w:val="18"/>
                <w:szCs w:val="18"/>
              </w:rPr>
            </w:pPr>
            <w:r>
              <w:rPr>
                <w:sz w:val="18"/>
                <w:szCs w:val="18"/>
              </w:rPr>
              <w:t xml:space="preserve">0.159 </w:t>
            </w:r>
          </w:p>
        </w:tc>
        <w:tc>
          <w:tcPr>
            <w:tcW w:w="1410" w:type="dxa"/>
            <w:tcBorders>
              <w:top w:val="nil"/>
              <w:left w:val="nil"/>
              <w:bottom w:val="nil"/>
              <w:right w:val="nil"/>
            </w:tcBorders>
            <w:tcMar>
              <w:top w:w="-411" w:type="dxa"/>
              <w:left w:w="-411" w:type="dxa"/>
              <w:bottom w:w="-411" w:type="dxa"/>
              <w:right w:w="-411" w:type="dxa"/>
            </w:tcMar>
            <w:vAlign w:val="center"/>
          </w:tcPr>
          <w:p w14:paraId="207401F8" w14:textId="77777777" w:rsidR="00340A38" w:rsidRDefault="00000000">
            <w:pPr>
              <w:spacing w:after="0" w:line="276" w:lineRule="auto"/>
              <w:rPr>
                <w:sz w:val="18"/>
                <w:szCs w:val="18"/>
              </w:rPr>
            </w:pPr>
            <w:r>
              <w:rPr>
                <w:sz w:val="18"/>
                <w:szCs w:val="18"/>
              </w:rPr>
              <w:t xml:space="preserve">0.877 </w:t>
            </w:r>
          </w:p>
        </w:tc>
      </w:tr>
      <w:tr w:rsidR="00340A38" w14:paraId="12975688" w14:textId="77777777">
        <w:tc>
          <w:tcPr>
            <w:tcW w:w="4785" w:type="dxa"/>
            <w:tcBorders>
              <w:top w:val="nil"/>
              <w:left w:val="nil"/>
              <w:bottom w:val="nil"/>
              <w:right w:val="nil"/>
            </w:tcBorders>
            <w:tcMar>
              <w:top w:w="-411" w:type="dxa"/>
              <w:left w:w="-411" w:type="dxa"/>
              <w:bottom w:w="-411" w:type="dxa"/>
              <w:right w:w="-411" w:type="dxa"/>
            </w:tcMar>
            <w:vAlign w:val="center"/>
          </w:tcPr>
          <w:p w14:paraId="4682EF4D" w14:textId="77777777" w:rsidR="00340A38" w:rsidRDefault="00000000">
            <w:pPr>
              <w:spacing w:after="0" w:line="276" w:lineRule="auto"/>
              <w:rPr>
                <w:sz w:val="18"/>
                <w:szCs w:val="18"/>
              </w:rPr>
            </w:pPr>
            <w:r>
              <w:rPr>
                <w:sz w:val="18"/>
                <w:szCs w:val="18"/>
              </w:rPr>
              <w:t>5</w:t>
            </w:r>
          </w:p>
        </w:tc>
        <w:tc>
          <w:tcPr>
            <w:tcW w:w="1350" w:type="dxa"/>
            <w:tcBorders>
              <w:top w:val="nil"/>
              <w:left w:val="nil"/>
              <w:bottom w:val="nil"/>
              <w:right w:val="nil"/>
            </w:tcBorders>
            <w:tcMar>
              <w:top w:w="-411" w:type="dxa"/>
              <w:left w:w="-411" w:type="dxa"/>
              <w:bottom w:w="-411" w:type="dxa"/>
              <w:right w:w="-411" w:type="dxa"/>
            </w:tcMar>
            <w:vAlign w:val="center"/>
          </w:tcPr>
          <w:p w14:paraId="2823285A" w14:textId="77777777" w:rsidR="00340A38" w:rsidRDefault="00000000">
            <w:pPr>
              <w:spacing w:after="0" w:line="276" w:lineRule="auto"/>
              <w:rPr>
                <w:sz w:val="18"/>
                <w:szCs w:val="18"/>
              </w:rPr>
            </w:pPr>
            <w:r>
              <w:rPr>
                <w:sz w:val="18"/>
                <w:szCs w:val="18"/>
              </w:rPr>
              <w:t xml:space="preserve">0.615 </w:t>
            </w:r>
          </w:p>
        </w:tc>
        <w:tc>
          <w:tcPr>
            <w:tcW w:w="1365" w:type="dxa"/>
            <w:tcBorders>
              <w:top w:val="nil"/>
              <w:left w:val="nil"/>
              <w:bottom w:val="nil"/>
              <w:right w:val="nil"/>
            </w:tcBorders>
            <w:tcMar>
              <w:top w:w="-411" w:type="dxa"/>
              <w:left w:w="-411" w:type="dxa"/>
              <w:bottom w:w="-411" w:type="dxa"/>
              <w:right w:w="-411" w:type="dxa"/>
            </w:tcMar>
            <w:vAlign w:val="center"/>
          </w:tcPr>
          <w:p w14:paraId="67CFD431" w14:textId="77777777" w:rsidR="00340A38" w:rsidRDefault="00000000">
            <w:pPr>
              <w:spacing w:after="0" w:line="276" w:lineRule="auto"/>
              <w:rPr>
                <w:sz w:val="18"/>
                <w:szCs w:val="18"/>
              </w:rPr>
            </w:pPr>
            <w:r>
              <w:rPr>
                <w:sz w:val="18"/>
                <w:szCs w:val="18"/>
              </w:rPr>
              <w:t xml:space="preserve">0.123 </w:t>
            </w:r>
          </w:p>
        </w:tc>
        <w:tc>
          <w:tcPr>
            <w:tcW w:w="1410" w:type="dxa"/>
            <w:tcBorders>
              <w:top w:val="nil"/>
              <w:left w:val="nil"/>
              <w:bottom w:val="nil"/>
              <w:right w:val="nil"/>
            </w:tcBorders>
            <w:tcMar>
              <w:top w:w="-411" w:type="dxa"/>
              <w:left w:w="-411" w:type="dxa"/>
              <w:bottom w:w="-411" w:type="dxa"/>
              <w:right w:w="-411" w:type="dxa"/>
            </w:tcMar>
            <w:vAlign w:val="center"/>
          </w:tcPr>
          <w:p w14:paraId="2B0C514A" w14:textId="77777777" w:rsidR="00340A38" w:rsidRDefault="00000000">
            <w:pPr>
              <w:spacing w:after="0" w:line="276" w:lineRule="auto"/>
              <w:rPr>
                <w:sz w:val="18"/>
                <w:szCs w:val="18"/>
              </w:rPr>
            </w:pPr>
            <w:r>
              <w:rPr>
                <w:sz w:val="18"/>
                <w:szCs w:val="18"/>
              </w:rPr>
              <w:t xml:space="preserve">1.000 </w:t>
            </w:r>
          </w:p>
        </w:tc>
      </w:tr>
      <w:tr w:rsidR="00340A38" w14:paraId="42B67E42" w14:textId="77777777">
        <w:tc>
          <w:tcPr>
            <w:tcW w:w="4785" w:type="dxa"/>
            <w:tcBorders>
              <w:top w:val="nil"/>
              <w:left w:val="nil"/>
              <w:bottom w:val="nil"/>
              <w:right w:val="nil"/>
            </w:tcBorders>
            <w:tcMar>
              <w:top w:w="-411" w:type="dxa"/>
              <w:left w:w="-411" w:type="dxa"/>
              <w:bottom w:w="-411" w:type="dxa"/>
              <w:right w:w="-411" w:type="dxa"/>
            </w:tcMar>
            <w:vAlign w:val="center"/>
          </w:tcPr>
          <w:p w14:paraId="52DF604B" w14:textId="77777777" w:rsidR="00340A38" w:rsidRDefault="00340A38">
            <w:pPr>
              <w:spacing w:after="0" w:line="276" w:lineRule="auto"/>
              <w:rPr>
                <w:sz w:val="18"/>
                <w:szCs w:val="18"/>
              </w:rPr>
            </w:pPr>
          </w:p>
        </w:tc>
        <w:tc>
          <w:tcPr>
            <w:tcW w:w="1350" w:type="dxa"/>
            <w:tcBorders>
              <w:top w:val="nil"/>
              <w:left w:val="nil"/>
              <w:bottom w:val="nil"/>
              <w:right w:val="nil"/>
            </w:tcBorders>
            <w:tcMar>
              <w:top w:w="-411" w:type="dxa"/>
              <w:left w:w="-411" w:type="dxa"/>
              <w:bottom w:w="-411" w:type="dxa"/>
              <w:right w:w="-411" w:type="dxa"/>
            </w:tcMar>
            <w:vAlign w:val="center"/>
          </w:tcPr>
          <w:p w14:paraId="5E7E029F" w14:textId="77777777" w:rsidR="00340A38" w:rsidRDefault="00340A38">
            <w:pPr>
              <w:spacing w:after="0" w:line="276" w:lineRule="auto"/>
              <w:rPr>
                <w:sz w:val="18"/>
                <w:szCs w:val="18"/>
              </w:rPr>
            </w:pPr>
          </w:p>
        </w:tc>
        <w:tc>
          <w:tcPr>
            <w:tcW w:w="1365" w:type="dxa"/>
            <w:tcBorders>
              <w:top w:val="nil"/>
              <w:left w:val="nil"/>
              <w:bottom w:val="nil"/>
              <w:right w:val="nil"/>
            </w:tcBorders>
            <w:tcMar>
              <w:top w:w="-411" w:type="dxa"/>
              <w:left w:w="-411" w:type="dxa"/>
              <w:bottom w:w="-411" w:type="dxa"/>
              <w:right w:w="-411" w:type="dxa"/>
            </w:tcMar>
            <w:vAlign w:val="center"/>
          </w:tcPr>
          <w:p w14:paraId="233784C0" w14:textId="77777777" w:rsidR="00340A38" w:rsidRDefault="00340A38">
            <w:pPr>
              <w:spacing w:after="0" w:line="276" w:lineRule="auto"/>
              <w:rPr>
                <w:sz w:val="18"/>
                <w:szCs w:val="18"/>
              </w:rPr>
            </w:pPr>
          </w:p>
        </w:tc>
        <w:tc>
          <w:tcPr>
            <w:tcW w:w="1410" w:type="dxa"/>
            <w:tcBorders>
              <w:top w:val="nil"/>
              <w:left w:val="nil"/>
              <w:bottom w:val="nil"/>
              <w:right w:val="nil"/>
            </w:tcBorders>
            <w:tcMar>
              <w:top w:w="-411" w:type="dxa"/>
              <w:left w:w="-411" w:type="dxa"/>
              <w:bottom w:w="-411" w:type="dxa"/>
              <w:right w:w="-411" w:type="dxa"/>
            </w:tcMar>
            <w:vAlign w:val="center"/>
          </w:tcPr>
          <w:p w14:paraId="23EC7E50" w14:textId="77777777" w:rsidR="00340A38" w:rsidRDefault="00340A38">
            <w:pPr>
              <w:spacing w:after="0" w:line="276" w:lineRule="auto"/>
              <w:rPr>
                <w:sz w:val="18"/>
                <w:szCs w:val="18"/>
              </w:rPr>
            </w:pPr>
          </w:p>
        </w:tc>
      </w:tr>
      <w:tr w:rsidR="00340A38" w14:paraId="5C48D5FF" w14:textId="77777777">
        <w:tc>
          <w:tcPr>
            <w:tcW w:w="4785" w:type="dxa"/>
            <w:tcBorders>
              <w:top w:val="nil"/>
              <w:left w:val="nil"/>
              <w:bottom w:val="nil"/>
              <w:right w:val="nil"/>
            </w:tcBorders>
            <w:tcMar>
              <w:top w:w="-411" w:type="dxa"/>
              <w:left w:w="-411" w:type="dxa"/>
              <w:bottom w:w="-411" w:type="dxa"/>
              <w:right w:w="-411" w:type="dxa"/>
            </w:tcMar>
            <w:vAlign w:val="center"/>
          </w:tcPr>
          <w:p w14:paraId="6E16707B" w14:textId="77777777" w:rsidR="00340A38" w:rsidRDefault="00000000">
            <w:pPr>
              <w:spacing w:after="0" w:line="276" w:lineRule="auto"/>
              <w:rPr>
                <w:sz w:val="18"/>
                <w:szCs w:val="18"/>
              </w:rPr>
            </w:pPr>
            <w:r>
              <w:rPr>
                <w:sz w:val="18"/>
                <w:szCs w:val="18"/>
              </w:rPr>
              <w:t>Variable</w:t>
            </w:r>
          </w:p>
        </w:tc>
        <w:tc>
          <w:tcPr>
            <w:tcW w:w="1350" w:type="dxa"/>
            <w:tcBorders>
              <w:top w:val="nil"/>
              <w:left w:val="nil"/>
              <w:bottom w:val="nil"/>
              <w:right w:val="nil"/>
            </w:tcBorders>
            <w:tcMar>
              <w:top w:w="-411" w:type="dxa"/>
              <w:left w:w="-411" w:type="dxa"/>
              <w:bottom w:w="-411" w:type="dxa"/>
              <w:right w:w="-411" w:type="dxa"/>
            </w:tcMar>
            <w:vAlign w:val="center"/>
          </w:tcPr>
          <w:p w14:paraId="6DE61BF6" w14:textId="77777777" w:rsidR="00340A38" w:rsidRDefault="00000000">
            <w:pPr>
              <w:spacing w:after="0" w:line="276" w:lineRule="auto"/>
              <w:rPr>
                <w:sz w:val="18"/>
                <w:szCs w:val="18"/>
              </w:rPr>
            </w:pPr>
            <w:r>
              <w:rPr>
                <w:sz w:val="18"/>
                <w:szCs w:val="18"/>
              </w:rPr>
              <w:t>Factor loading</w:t>
            </w:r>
          </w:p>
        </w:tc>
        <w:tc>
          <w:tcPr>
            <w:tcW w:w="1365" w:type="dxa"/>
            <w:tcBorders>
              <w:top w:val="nil"/>
              <w:left w:val="nil"/>
              <w:bottom w:val="nil"/>
              <w:right w:val="nil"/>
            </w:tcBorders>
            <w:tcMar>
              <w:top w:w="-411" w:type="dxa"/>
              <w:left w:w="-411" w:type="dxa"/>
              <w:bottom w:w="-411" w:type="dxa"/>
              <w:right w:w="-411" w:type="dxa"/>
            </w:tcMar>
            <w:vAlign w:val="center"/>
          </w:tcPr>
          <w:p w14:paraId="2FCBA12F" w14:textId="77777777" w:rsidR="00340A38" w:rsidRDefault="00340A38">
            <w:pPr>
              <w:spacing w:after="0" w:line="276" w:lineRule="auto"/>
              <w:rPr>
                <w:sz w:val="18"/>
                <w:szCs w:val="18"/>
              </w:rPr>
            </w:pPr>
          </w:p>
        </w:tc>
        <w:tc>
          <w:tcPr>
            <w:tcW w:w="1410" w:type="dxa"/>
            <w:tcBorders>
              <w:top w:val="nil"/>
              <w:left w:val="nil"/>
              <w:bottom w:val="nil"/>
              <w:right w:val="nil"/>
            </w:tcBorders>
            <w:tcMar>
              <w:top w:w="-411" w:type="dxa"/>
              <w:left w:w="-411" w:type="dxa"/>
              <w:bottom w:w="-411" w:type="dxa"/>
              <w:right w:w="-411" w:type="dxa"/>
            </w:tcMar>
            <w:vAlign w:val="center"/>
          </w:tcPr>
          <w:p w14:paraId="31F34272" w14:textId="77777777" w:rsidR="00340A38" w:rsidRDefault="00340A38">
            <w:pPr>
              <w:spacing w:after="0" w:line="276" w:lineRule="auto"/>
              <w:rPr>
                <w:sz w:val="18"/>
                <w:szCs w:val="18"/>
              </w:rPr>
            </w:pPr>
          </w:p>
        </w:tc>
      </w:tr>
      <w:tr w:rsidR="00340A38" w14:paraId="34AC773A" w14:textId="77777777">
        <w:tc>
          <w:tcPr>
            <w:tcW w:w="4785" w:type="dxa"/>
            <w:tcBorders>
              <w:top w:val="nil"/>
              <w:left w:val="nil"/>
              <w:bottom w:val="single" w:sz="4" w:space="0" w:color="000000"/>
              <w:right w:val="nil"/>
            </w:tcBorders>
            <w:tcMar>
              <w:top w:w="-411" w:type="dxa"/>
              <w:left w:w="-411" w:type="dxa"/>
              <w:bottom w:w="-411" w:type="dxa"/>
              <w:right w:w="-411" w:type="dxa"/>
            </w:tcMar>
            <w:vAlign w:val="center"/>
          </w:tcPr>
          <w:p w14:paraId="71467585" w14:textId="77777777" w:rsidR="00340A38" w:rsidRDefault="00340A38">
            <w:pPr>
              <w:spacing w:after="0" w:line="276" w:lineRule="auto"/>
              <w:rPr>
                <w:sz w:val="18"/>
                <w:szCs w:val="18"/>
              </w:rPr>
            </w:pPr>
          </w:p>
        </w:tc>
        <w:tc>
          <w:tcPr>
            <w:tcW w:w="1350" w:type="dxa"/>
            <w:tcBorders>
              <w:top w:val="nil"/>
              <w:left w:val="nil"/>
              <w:bottom w:val="single" w:sz="4" w:space="0" w:color="000000"/>
              <w:right w:val="nil"/>
            </w:tcBorders>
            <w:tcMar>
              <w:top w:w="-411" w:type="dxa"/>
              <w:left w:w="-411" w:type="dxa"/>
              <w:bottom w:w="-411" w:type="dxa"/>
              <w:right w:w="-411" w:type="dxa"/>
            </w:tcMar>
            <w:vAlign w:val="center"/>
          </w:tcPr>
          <w:p w14:paraId="37176002" w14:textId="77777777" w:rsidR="00340A38" w:rsidRDefault="00000000">
            <w:pPr>
              <w:spacing w:after="0" w:line="276" w:lineRule="auto"/>
              <w:rPr>
                <w:sz w:val="18"/>
                <w:szCs w:val="18"/>
              </w:rPr>
            </w:pPr>
            <w:r>
              <w:rPr>
                <w:sz w:val="18"/>
                <w:szCs w:val="18"/>
              </w:rPr>
              <w:t>CEO1</w:t>
            </w:r>
          </w:p>
        </w:tc>
        <w:tc>
          <w:tcPr>
            <w:tcW w:w="1365" w:type="dxa"/>
            <w:tcBorders>
              <w:top w:val="nil"/>
              <w:left w:val="nil"/>
              <w:bottom w:val="single" w:sz="4" w:space="0" w:color="000000"/>
              <w:right w:val="nil"/>
            </w:tcBorders>
            <w:tcMar>
              <w:top w:w="-411" w:type="dxa"/>
              <w:left w:w="-411" w:type="dxa"/>
              <w:bottom w:w="-411" w:type="dxa"/>
              <w:right w:w="-411" w:type="dxa"/>
            </w:tcMar>
            <w:vAlign w:val="center"/>
          </w:tcPr>
          <w:p w14:paraId="16CB0DC3" w14:textId="77777777" w:rsidR="00340A38" w:rsidRDefault="00000000">
            <w:pPr>
              <w:spacing w:after="0" w:line="276" w:lineRule="auto"/>
              <w:rPr>
                <w:sz w:val="18"/>
                <w:szCs w:val="18"/>
              </w:rPr>
            </w:pPr>
            <w:r>
              <w:rPr>
                <w:sz w:val="18"/>
                <w:szCs w:val="18"/>
              </w:rPr>
              <w:t>CEO2</w:t>
            </w:r>
          </w:p>
        </w:tc>
        <w:tc>
          <w:tcPr>
            <w:tcW w:w="1410" w:type="dxa"/>
            <w:tcBorders>
              <w:top w:val="nil"/>
              <w:left w:val="nil"/>
              <w:bottom w:val="single" w:sz="4" w:space="0" w:color="000000"/>
              <w:right w:val="nil"/>
            </w:tcBorders>
            <w:tcMar>
              <w:top w:w="-411" w:type="dxa"/>
              <w:left w:w="-411" w:type="dxa"/>
              <w:bottom w:w="-411" w:type="dxa"/>
              <w:right w:w="-411" w:type="dxa"/>
            </w:tcMar>
            <w:vAlign w:val="center"/>
          </w:tcPr>
          <w:p w14:paraId="06DBADF0" w14:textId="77777777" w:rsidR="00340A38" w:rsidRDefault="00340A38">
            <w:pPr>
              <w:spacing w:after="0" w:line="276" w:lineRule="auto"/>
              <w:rPr>
                <w:sz w:val="18"/>
                <w:szCs w:val="18"/>
              </w:rPr>
            </w:pPr>
          </w:p>
        </w:tc>
      </w:tr>
      <w:tr w:rsidR="00340A38" w14:paraId="06FF4EFF" w14:textId="77777777">
        <w:tc>
          <w:tcPr>
            <w:tcW w:w="4785" w:type="dxa"/>
            <w:tcBorders>
              <w:top w:val="single" w:sz="4" w:space="0" w:color="000000"/>
              <w:left w:val="nil"/>
              <w:bottom w:val="nil"/>
              <w:right w:val="nil"/>
            </w:tcBorders>
            <w:tcMar>
              <w:top w:w="-411" w:type="dxa"/>
              <w:left w:w="-411" w:type="dxa"/>
              <w:bottom w:w="-411" w:type="dxa"/>
              <w:right w:w="-411" w:type="dxa"/>
            </w:tcMar>
            <w:vAlign w:val="center"/>
          </w:tcPr>
          <w:p w14:paraId="5766B7E6" w14:textId="77777777" w:rsidR="00340A38" w:rsidRDefault="00000000">
            <w:pPr>
              <w:spacing w:after="0" w:line="276" w:lineRule="auto"/>
              <w:rPr>
                <w:sz w:val="18"/>
                <w:szCs w:val="18"/>
              </w:rPr>
            </w:pPr>
            <w:r>
              <w:rPr>
                <w:sz w:val="18"/>
                <w:szCs w:val="18"/>
              </w:rPr>
              <w:t>CDEG</w:t>
            </w:r>
          </w:p>
        </w:tc>
        <w:tc>
          <w:tcPr>
            <w:tcW w:w="1350" w:type="dxa"/>
            <w:tcBorders>
              <w:top w:val="single" w:sz="4" w:space="0" w:color="000000"/>
              <w:left w:val="nil"/>
              <w:bottom w:val="nil"/>
              <w:right w:val="nil"/>
            </w:tcBorders>
            <w:tcMar>
              <w:top w:w="-411" w:type="dxa"/>
              <w:left w:w="-411" w:type="dxa"/>
              <w:bottom w:w="-411" w:type="dxa"/>
              <w:right w:w="-411" w:type="dxa"/>
            </w:tcMar>
            <w:vAlign w:val="center"/>
          </w:tcPr>
          <w:p w14:paraId="1AA9C581" w14:textId="77777777" w:rsidR="00340A38" w:rsidRDefault="00000000">
            <w:pPr>
              <w:spacing w:after="0" w:line="276" w:lineRule="auto"/>
              <w:rPr>
                <w:sz w:val="18"/>
                <w:szCs w:val="18"/>
              </w:rPr>
            </w:pPr>
            <w:r>
              <w:rPr>
                <w:sz w:val="18"/>
                <w:szCs w:val="18"/>
              </w:rPr>
              <w:t>0.104</w:t>
            </w:r>
          </w:p>
        </w:tc>
        <w:tc>
          <w:tcPr>
            <w:tcW w:w="1365" w:type="dxa"/>
            <w:tcBorders>
              <w:top w:val="single" w:sz="4" w:space="0" w:color="000000"/>
              <w:left w:val="nil"/>
              <w:bottom w:val="nil"/>
              <w:right w:val="nil"/>
            </w:tcBorders>
            <w:tcMar>
              <w:top w:w="-411" w:type="dxa"/>
              <w:left w:w="-411" w:type="dxa"/>
              <w:bottom w:w="-411" w:type="dxa"/>
              <w:right w:w="-411" w:type="dxa"/>
            </w:tcMar>
            <w:vAlign w:val="center"/>
          </w:tcPr>
          <w:p w14:paraId="7E0A9C42" w14:textId="77777777" w:rsidR="00340A38" w:rsidRDefault="00000000">
            <w:pPr>
              <w:spacing w:after="0" w:line="276" w:lineRule="auto"/>
              <w:rPr>
                <w:sz w:val="18"/>
                <w:szCs w:val="18"/>
              </w:rPr>
            </w:pPr>
            <w:r>
              <w:rPr>
                <w:sz w:val="18"/>
                <w:szCs w:val="18"/>
              </w:rPr>
              <w:t>-0.784</w:t>
            </w:r>
          </w:p>
        </w:tc>
        <w:tc>
          <w:tcPr>
            <w:tcW w:w="1410" w:type="dxa"/>
            <w:tcBorders>
              <w:top w:val="single" w:sz="4" w:space="0" w:color="000000"/>
              <w:left w:val="nil"/>
              <w:bottom w:val="nil"/>
              <w:right w:val="nil"/>
            </w:tcBorders>
            <w:tcMar>
              <w:top w:w="-411" w:type="dxa"/>
              <w:left w:w="-411" w:type="dxa"/>
              <w:bottom w:w="-411" w:type="dxa"/>
              <w:right w:w="-411" w:type="dxa"/>
            </w:tcMar>
            <w:vAlign w:val="center"/>
          </w:tcPr>
          <w:p w14:paraId="78198B3B" w14:textId="77777777" w:rsidR="00340A38" w:rsidRDefault="00340A38">
            <w:pPr>
              <w:spacing w:after="0" w:line="276" w:lineRule="auto"/>
              <w:rPr>
                <w:sz w:val="18"/>
                <w:szCs w:val="18"/>
              </w:rPr>
            </w:pPr>
          </w:p>
        </w:tc>
      </w:tr>
      <w:tr w:rsidR="00340A38" w14:paraId="4F0B0CD2" w14:textId="77777777">
        <w:tc>
          <w:tcPr>
            <w:tcW w:w="4785" w:type="dxa"/>
            <w:tcBorders>
              <w:top w:val="nil"/>
              <w:left w:val="nil"/>
              <w:bottom w:val="nil"/>
              <w:right w:val="nil"/>
            </w:tcBorders>
            <w:tcMar>
              <w:top w:w="-411" w:type="dxa"/>
              <w:left w:w="-411" w:type="dxa"/>
              <w:bottom w:w="-411" w:type="dxa"/>
              <w:right w:w="-411" w:type="dxa"/>
            </w:tcMar>
            <w:vAlign w:val="center"/>
          </w:tcPr>
          <w:p w14:paraId="0B864A28" w14:textId="77777777" w:rsidR="00340A38" w:rsidRDefault="00000000">
            <w:pPr>
              <w:spacing w:after="0" w:line="276" w:lineRule="auto"/>
              <w:rPr>
                <w:sz w:val="18"/>
                <w:szCs w:val="18"/>
              </w:rPr>
            </w:pPr>
            <w:r>
              <w:rPr>
                <w:sz w:val="18"/>
                <w:szCs w:val="18"/>
              </w:rPr>
              <w:t>CCON</w:t>
            </w:r>
          </w:p>
        </w:tc>
        <w:tc>
          <w:tcPr>
            <w:tcW w:w="1350" w:type="dxa"/>
            <w:tcBorders>
              <w:top w:val="nil"/>
              <w:left w:val="nil"/>
              <w:bottom w:val="nil"/>
              <w:right w:val="nil"/>
            </w:tcBorders>
            <w:tcMar>
              <w:top w:w="-411" w:type="dxa"/>
              <w:left w:w="-411" w:type="dxa"/>
              <w:bottom w:w="-411" w:type="dxa"/>
              <w:right w:w="-411" w:type="dxa"/>
            </w:tcMar>
            <w:vAlign w:val="center"/>
          </w:tcPr>
          <w:p w14:paraId="39D798E1" w14:textId="77777777" w:rsidR="00340A38" w:rsidRDefault="00000000">
            <w:pPr>
              <w:spacing w:after="0" w:line="276" w:lineRule="auto"/>
              <w:rPr>
                <w:sz w:val="18"/>
                <w:szCs w:val="18"/>
              </w:rPr>
            </w:pPr>
            <w:r>
              <w:rPr>
                <w:sz w:val="18"/>
                <w:szCs w:val="18"/>
              </w:rPr>
              <w:t>0.368</w:t>
            </w:r>
          </w:p>
        </w:tc>
        <w:tc>
          <w:tcPr>
            <w:tcW w:w="1365" w:type="dxa"/>
            <w:tcBorders>
              <w:top w:val="nil"/>
              <w:left w:val="nil"/>
              <w:bottom w:val="nil"/>
              <w:right w:val="nil"/>
            </w:tcBorders>
            <w:tcMar>
              <w:top w:w="-411" w:type="dxa"/>
              <w:left w:w="-411" w:type="dxa"/>
              <w:bottom w:w="-411" w:type="dxa"/>
              <w:right w:w="-411" w:type="dxa"/>
            </w:tcMar>
            <w:vAlign w:val="center"/>
          </w:tcPr>
          <w:p w14:paraId="1F10B9FF" w14:textId="77777777" w:rsidR="00340A38" w:rsidRDefault="00000000">
            <w:pPr>
              <w:spacing w:after="0" w:line="276" w:lineRule="auto"/>
              <w:rPr>
                <w:sz w:val="18"/>
                <w:szCs w:val="18"/>
              </w:rPr>
            </w:pPr>
            <w:r>
              <w:rPr>
                <w:sz w:val="18"/>
                <w:szCs w:val="18"/>
              </w:rPr>
              <w:t>-0.442</w:t>
            </w:r>
          </w:p>
        </w:tc>
        <w:tc>
          <w:tcPr>
            <w:tcW w:w="1410" w:type="dxa"/>
            <w:tcBorders>
              <w:top w:val="nil"/>
              <w:left w:val="nil"/>
              <w:bottom w:val="nil"/>
              <w:right w:val="nil"/>
            </w:tcBorders>
            <w:tcMar>
              <w:top w:w="-411" w:type="dxa"/>
              <w:left w:w="-411" w:type="dxa"/>
              <w:bottom w:w="-411" w:type="dxa"/>
              <w:right w:w="-411" w:type="dxa"/>
            </w:tcMar>
            <w:vAlign w:val="center"/>
          </w:tcPr>
          <w:p w14:paraId="5FBC1F56" w14:textId="77777777" w:rsidR="00340A38" w:rsidRDefault="00340A38">
            <w:pPr>
              <w:spacing w:after="0" w:line="276" w:lineRule="auto"/>
              <w:rPr>
                <w:sz w:val="18"/>
                <w:szCs w:val="18"/>
              </w:rPr>
            </w:pPr>
          </w:p>
        </w:tc>
      </w:tr>
      <w:tr w:rsidR="00340A38" w14:paraId="040F4C70" w14:textId="77777777">
        <w:tc>
          <w:tcPr>
            <w:tcW w:w="4785" w:type="dxa"/>
            <w:tcBorders>
              <w:top w:val="nil"/>
              <w:left w:val="nil"/>
              <w:bottom w:val="nil"/>
              <w:right w:val="nil"/>
            </w:tcBorders>
            <w:tcMar>
              <w:top w:w="-411" w:type="dxa"/>
              <w:left w:w="-411" w:type="dxa"/>
              <w:bottom w:w="-411" w:type="dxa"/>
              <w:right w:w="-411" w:type="dxa"/>
            </w:tcMar>
            <w:vAlign w:val="center"/>
          </w:tcPr>
          <w:p w14:paraId="75F7A150" w14:textId="77777777" w:rsidR="00340A38" w:rsidRDefault="00000000">
            <w:pPr>
              <w:spacing w:after="0" w:line="276" w:lineRule="auto"/>
              <w:rPr>
                <w:sz w:val="18"/>
                <w:szCs w:val="18"/>
              </w:rPr>
            </w:pPr>
            <w:r>
              <w:rPr>
                <w:sz w:val="18"/>
                <w:szCs w:val="18"/>
              </w:rPr>
              <w:t>CTEN</w:t>
            </w:r>
          </w:p>
        </w:tc>
        <w:tc>
          <w:tcPr>
            <w:tcW w:w="1350" w:type="dxa"/>
            <w:tcBorders>
              <w:top w:val="nil"/>
              <w:left w:val="nil"/>
              <w:bottom w:val="nil"/>
              <w:right w:val="nil"/>
            </w:tcBorders>
            <w:tcMar>
              <w:top w:w="-411" w:type="dxa"/>
              <w:left w:w="-411" w:type="dxa"/>
              <w:bottom w:w="-411" w:type="dxa"/>
              <w:right w:w="-411" w:type="dxa"/>
            </w:tcMar>
            <w:vAlign w:val="center"/>
          </w:tcPr>
          <w:p w14:paraId="37F46FC7" w14:textId="77777777" w:rsidR="00340A38" w:rsidRDefault="00000000">
            <w:pPr>
              <w:spacing w:after="0" w:line="276" w:lineRule="auto"/>
              <w:rPr>
                <w:sz w:val="18"/>
                <w:szCs w:val="18"/>
              </w:rPr>
            </w:pPr>
            <w:r>
              <w:rPr>
                <w:sz w:val="18"/>
                <w:szCs w:val="18"/>
              </w:rPr>
              <w:t>0.482</w:t>
            </w:r>
          </w:p>
        </w:tc>
        <w:tc>
          <w:tcPr>
            <w:tcW w:w="1365" w:type="dxa"/>
            <w:tcBorders>
              <w:top w:val="nil"/>
              <w:left w:val="nil"/>
              <w:bottom w:val="nil"/>
              <w:right w:val="nil"/>
            </w:tcBorders>
            <w:tcMar>
              <w:top w:w="-411" w:type="dxa"/>
              <w:left w:w="-411" w:type="dxa"/>
              <w:bottom w:w="-411" w:type="dxa"/>
              <w:right w:w="-411" w:type="dxa"/>
            </w:tcMar>
            <w:vAlign w:val="center"/>
          </w:tcPr>
          <w:p w14:paraId="3770E68E" w14:textId="77777777" w:rsidR="00340A38" w:rsidRDefault="00000000">
            <w:pPr>
              <w:spacing w:after="0" w:line="276" w:lineRule="auto"/>
              <w:rPr>
                <w:sz w:val="18"/>
                <w:szCs w:val="18"/>
              </w:rPr>
            </w:pPr>
            <w:r>
              <w:rPr>
                <w:sz w:val="18"/>
                <w:szCs w:val="18"/>
              </w:rPr>
              <w:t>-0.147</w:t>
            </w:r>
          </w:p>
        </w:tc>
        <w:tc>
          <w:tcPr>
            <w:tcW w:w="1410" w:type="dxa"/>
            <w:tcBorders>
              <w:top w:val="nil"/>
              <w:left w:val="nil"/>
              <w:bottom w:val="nil"/>
              <w:right w:val="nil"/>
            </w:tcBorders>
            <w:tcMar>
              <w:top w:w="-411" w:type="dxa"/>
              <w:left w:w="-411" w:type="dxa"/>
              <w:bottom w:w="-411" w:type="dxa"/>
              <w:right w:w="-411" w:type="dxa"/>
            </w:tcMar>
            <w:vAlign w:val="center"/>
          </w:tcPr>
          <w:p w14:paraId="0149B772" w14:textId="77777777" w:rsidR="00340A38" w:rsidRDefault="00340A38">
            <w:pPr>
              <w:spacing w:after="0" w:line="276" w:lineRule="auto"/>
              <w:rPr>
                <w:sz w:val="18"/>
                <w:szCs w:val="18"/>
              </w:rPr>
            </w:pPr>
          </w:p>
        </w:tc>
      </w:tr>
      <w:tr w:rsidR="00340A38" w14:paraId="0D4061F4" w14:textId="77777777">
        <w:tc>
          <w:tcPr>
            <w:tcW w:w="4785" w:type="dxa"/>
            <w:tcBorders>
              <w:top w:val="nil"/>
              <w:left w:val="nil"/>
              <w:bottom w:val="nil"/>
              <w:right w:val="nil"/>
            </w:tcBorders>
            <w:tcMar>
              <w:top w:w="-411" w:type="dxa"/>
              <w:left w:w="-411" w:type="dxa"/>
              <w:bottom w:w="-411" w:type="dxa"/>
              <w:right w:w="-411" w:type="dxa"/>
            </w:tcMar>
            <w:vAlign w:val="center"/>
          </w:tcPr>
          <w:p w14:paraId="59F404C2" w14:textId="77777777" w:rsidR="00340A38" w:rsidRDefault="00000000">
            <w:pPr>
              <w:spacing w:after="0" w:line="276" w:lineRule="auto"/>
              <w:rPr>
                <w:sz w:val="18"/>
                <w:szCs w:val="18"/>
              </w:rPr>
            </w:pPr>
            <w:r>
              <w:rPr>
                <w:sz w:val="18"/>
                <w:szCs w:val="18"/>
              </w:rPr>
              <w:t>CDUA</w:t>
            </w:r>
          </w:p>
        </w:tc>
        <w:tc>
          <w:tcPr>
            <w:tcW w:w="1350" w:type="dxa"/>
            <w:tcBorders>
              <w:top w:val="nil"/>
              <w:left w:val="nil"/>
              <w:bottom w:val="nil"/>
              <w:right w:val="nil"/>
            </w:tcBorders>
            <w:tcMar>
              <w:top w:w="-411" w:type="dxa"/>
              <w:left w:w="-411" w:type="dxa"/>
              <w:bottom w:w="-411" w:type="dxa"/>
              <w:right w:w="-411" w:type="dxa"/>
            </w:tcMar>
            <w:vAlign w:val="center"/>
          </w:tcPr>
          <w:p w14:paraId="016761EE" w14:textId="77777777" w:rsidR="00340A38" w:rsidRDefault="00000000">
            <w:pPr>
              <w:spacing w:after="0" w:line="276" w:lineRule="auto"/>
              <w:rPr>
                <w:sz w:val="18"/>
                <w:szCs w:val="18"/>
              </w:rPr>
            </w:pPr>
            <w:r>
              <w:rPr>
                <w:sz w:val="18"/>
                <w:szCs w:val="18"/>
              </w:rPr>
              <w:t>0.589</w:t>
            </w:r>
          </w:p>
        </w:tc>
        <w:tc>
          <w:tcPr>
            <w:tcW w:w="1365" w:type="dxa"/>
            <w:tcBorders>
              <w:top w:val="nil"/>
              <w:left w:val="nil"/>
              <w:bottom w:val="nil"/>
              <w:right w:val="nil"/>
            </w:tcBorders>
            <w:tcMar>
              <w:top w:w="-411" w:type="dxa"/>
              <w:left w:w="-411" w:type="dxa"/>
              <w:bottom w:w="-411" w:type="dxa"/>
              <w:right w:w="-411" w:type="dxa"/>
            </w:tcMar>
            <w:vAlign w:val="center"/>
          </w:tcPr>
          <w:p w14:paraId="7624A25A" w14:textId="77777777" w:rsidR="00340A38" w:rsidRDefault="00000000">
            <w:pPr>
              <w:spacing w:after="0" w:line="276" w:lineRule="auto"/>
              <w:rPr>
                <w:sz w:val="18"/>
                <w:szCs w:val="18"/>
              </w:rPr>
            </w:pPr>
            <w:r>
              <w:rPr>
                <w:sz w:val="18"/>
                <w:szCs w:val="18"/>
              </w:rPr>
              <w:t>0.239</w:t>
            </w:r>
          </w:p>
        </w:tc>
        <w:tc>
          <w:tcPr>
            <w:tcW w:w="1410" w:type="dxa"/>
            <w:tcBorders>
              <w:top w:val="nil"/>
              <w:left w:val="nil"/>
              <w:bottom w:val="nil"/>
              <w:right w:val="nil"/>
            </w:tcBorders>
            <w:tcMar>
              <w:top w:w="-411" w:type="dxa"/>
              <w:left w:w="-411" w:type="dxa"/>
              <w:bottom w:w="-411" w:type="dxa"/>
              <w:right w:w="-411" w:type="dxa"/>
            </w:tcMar>
            <w:vAlign w:val="center"/>
          </w:tcPr>
          <w:p w14:paraId="76754E0E" w14:textId="77777777" w:rsidR="00340A38" w:rsidRDefault="00340A38">
            <w:pPr>
              <w:spacing w:after="0" w:line="276" w:lineRule="auto"/>
              <w:rPr>
                <w:sz w:val="18"/>
                <w:szCs w:val="18"/>
              </w:rPr>
            </w:pPr>
          </w:p>
        </w:tc>
      </w:tr>
      <w:tr w:rsidR="00340A38" w14:paraId="118FA68A" w14:textId="77777777">
        <w:tc>
          <w:tcPr>
            <w:tcW w:w="4785" w:type="dxa"/>
            <w:tcBorders>
              <w:top w:val="nil"/>
              <w:left w:val="nil"/>
              <w:bottom w:val="nil"/>
              <w:right w:val="nil"/>
            </w:tcBorders>
            <w:tcMar>
              <w:top w:w="-411" w:type="dxa"/>
              <w:left w:w="-411" w:type="dxa"/>
              <w:bottom w:w="-411" w:type="dxa"/>
              <w:right w:w="-411" w:type="dxa"/>
            </w:tcMar>
            <w:vAlign w:val="center"/>
          </w:tcPr>
          <w:p w14:paraId="79FA92A5" w14:textId="77777777" w:rsidR="00340A38" w:rsidRDefault="00000000">
            <w:pPr>
              <w:spacing w:after="0" w:line="276" w:lineRule="auto"/>
              <w:rPr>
                <w:sz w:val="18"/>
                <w:szCs w:val="18"/>
              </w:rPr>
            </w:pPr>
            <w:r>
              <w:rPr>
                <w:sz w:val="18"/>
                <w:szCs w:val="18"/>
              </w:rPr>
              <w:t>CSWP</w:t>
            </w:r>
          </w:p>
        </w:tc>
        <w:tc>
          <w:tcPr>
            <w:tcW w:w="1350" w:type="dxa"/>
            <w:tcBorders>
              <w:top w:val="nil"/>
              <w:left w:val="nil"/>
              <w:bottom w:val="nil"/>
              <w:right w:val="nil"/>
            </w:tcBorders>
            <w:tcMar>
              <w:top w:w="-411" w:type="dxa"/>
              <w:left w:w="-411" w:type="dxa"/>
              <w:bottom w:w="-411" w:type="dxa"/>
              <w:right w:w="-411" w:type="dxa"/>
            </w:tcMar>
            <w:vAlign w:val="center"/>
          </w:tcPr>
          <w:p w14:paraId="1CD8CF4F" w14:textId="77777777" w:rsidR="00340A38" w:rsidRDefault="00000000">
            <w:pPr>
              <w:spacing w:after="0" w:line="276" w:lineRule="auto"/>
              <w:rPr>
                <w:sz w:val="18"/>
                <w:szCs w:val="18"/>
              </w:rPr>
            </w:pPr>
            <w:r>
              <w:rPr>
                <w:sz w:val="18"/>
                <w:szCs w:val="18"/>
              </w:rPr>
              <w:t>0.525</w:t>
            </w:r>
          </w:p>
        </w:tc>
        <w:tc>
          <w:tcPr>
            <w:tcW w:w="1365" w:type="dxa"/>
            <w:tcBorders>
              <w:top w:val="nil"/>
              <w:left w:val="nil"/>
              <w:bottom w:val="nil"/>
              <w:right w:val="nil"/>
            </w:tcBorders>
            <w:tcMar>
              <w:top w:w="-411" w:type="dxa"/>
              <w:left w:w="-411" w:type="dxa"/>
              <w:bottom w:w="-411" w:type="dxa"/>
              <w:right w:w="-411" w:type="dxa"/>
            </w:tcMar>
            <w:vAlign w:val="center"/>
          </w:tcPr>
          <w:p w14:paraId="4495DDD8" w14:textId="77777777" w:rsidR="00340A38" w:rsidRDefault="00000000">
            <w:pPr>
              <w:spacing w:after="0" w:line="276" w:lineRule="auto"/>
              <w:rPr>
                <w:sz w:val="18"/>
                <w:szCs w:val="18"/>
              </w:rPr>
            </w:pPr>
            <w:r>
              <w:rPr>
                <w:sz w:val="18"/>
                <w:szCs w:val="18"/>
              </w:rPr>
              <w:t>0.333</w:t>
            </w:r>
          </w:p>
        </w:tc>
        <w:tc>
          <w:tcPr>
            <w:tcW w:w="1410" w:type="dxa"/>
            <w:tcBorders>
              <w:top w:val="nil"/>
              <w:left w:val="nil"/>
              <w:bottom w:val="nil"/>
              <w:right w:val="nil"/>
            </w:tcBorders>
            <w:tcMar>
              <w:top w:w="-411" w:type="dxa"/>
              <w:left w:w="-411" w:type="dxa"/>
              <w:bottom w:w="-411" w:type="dxa"/>
              <w:right w:w="-411" w:type="dxa"/>
            </w:tcMar>
            <w:vAlign w:val="center"/>
          </w:tcPr>
          <w:p w14:paraId="446C80A2" w14:textId="77777777" w:rsidR="00340A38" w:rsidRDefault="00340A38">
            <w:pPr>
              <w:spacing w:after="0" w:line="276" w:lineRule="auto"/>
              <w:rPr>
                <w:sz w:val="18"/>
                <w:szCs w:val="18"/>
              </w:rPr>
            </w:pPr>
          </w:p>
        </w:tc>
      </w:tr>
    </w:tbl>
    <w:p w14:paraId="4EF4ADE2" w14:textId="77777777" w:rsidR="00340A38" w:rsidRDefault="00340A38">
      <w:pPr>
        <w:spacing w:after="0"/>
        <w:rPr>
          <w:sz w:val="18"/>
          <w:szCs w:val="18"/>
        </w:rPr>
      </w:pPr>
    </w:p>
    <w:tbl>
      <w:tblPr>
        <w:tblStyle w:val="a7"/>
        <w:tblW w:w="9420" w:type="dxa"/>
        <w:tblBorders>
          <w:top w:val="nil"/>
          <w:left w:val="nil"/>
          <w:bottom w:val="nil"/>
          <w:right w:val="nil"/>
          <w:insideH w:val="nil"/>
          <w:insideV w:val="nil"/>
        </w:tblBorders>
        <w:tblLayout w:type="fixed"/>
        <w:tblLook w:val="0600" w:firstRow="0" w:lastRow="0" w:firstColumn="0" w:lastColumn="0" w:noHBand="1" w:noVBand="1"/>
      </w:tblPr>
      <w:tblGrid>
        <w:gridCol w:w="4725"/>
        <w:gridCol w:w="1155"/>
        <w:gridCol w:w="3540"/>
      </w:tblGrid>
      <w:tr w:rsidR="00340A38" w14:paraId="51CC1792" w14:textId="77777777">
        <w:tc>
          <w:tcPr>
            <w:tcW w:w="4725" w:type="dxa"/>
            <w:tcBorders>
              <w:top w:val="nil"/>
              <w:left w:val="nil"/>
              <w:bottom w:val="nil"/>
              <w:right w:val="nil"/>
            </w:tcBorders>
            <w:tcMar>
              <w:top w:w="-123" w:type="dxa"/>
              <w:left w:w="-123" w:type="dxa"/>
              <w:bottom w:w="-123" w:type="dxa"/>
              <w:right w:w="-123" w:type="dxa"/>
            </w:tcMar>
            <w:vAlign w:val="center"/>
          </w:tcPr>
          <w:p w14:paraId="1BBFA852" w14:textId="77777777" w:rsidR="00340A38" w:rsidRDefault="00000000" w:rsidP="00520A60">
            <w:pPr>
              <w:spacing w:after="0"/>
              <w:rPr>
                <w:sz w:val="18"/>
                <w:szCs w:val="18"/>
              </w:rPr>
            </w:pPr>
            <w:r w:rsidRPr="00520A60">
              <w:rPr>
                <w:b/>
                <w:sz w:val="18"/>
                <w:szCs w:val="18"/>
              </w:rPr>
              <w:t>Panel B: Factor component weight for BOD power</w:t>
            </w:r>
          </w:p>
        </w:tc>
        <w:tc>
          <w:tcPr>
            <w:tcW w:w="1155" w:type="dxa"/>
            <w:tcBorders>
              <w:top w:val="nil"/>
              <w:left w:val="nil"/>
              <w:bottom w:val="nil"/>
              <w:right w:val="nil"/>
            </w:tcBorders>
            <w:tcMar>
              <w:top w:w="-123" w:type="dxa"/>
              <w:left w:w="-123" w:type="dxa"/>
              <w:bottom w:w="-123" w:type="dxa"/>
              <w:right w:w="-123" w:type="dxa"/>
            </w:tcMar>
            <w:vAlign w:val="center"/>
          </w:tcPr>
          <w:p w14:paraId="22A916E0" w14:textId="77777777" w:rsidR="00340A38" w:rsidRDefault="00340A38">
            <w:pPr>
              <w:spacing w:after="0" w:line="276" w:lineRule="auto"/>
              <w:rPr>
                <w:sz w:val="18"/>
                <w:szCs w:val="18"/>
              </w:rPr>
            </w:pPr>
          </w:p>
        </w:tc>
        <w:tc>
          <w:tcPr>
            <w:tcW w:w="3540" w:type="dxa"/>
            <w:tcBorders>
              <w:top w:val="nil"/>
              <w:left w:val="nil"/>
              <w:bottom w:val="nil"/>
              <w:right w:val="nil"/>
            </w:tcBorders>
            <w:tcMar>
              <w:top w:w="-123" w:type="dxa"/>
              <w:left w:w="-123" w:type="dxa"/>
              <w:bottom w:w="-123" w:type="dxa"/>
              <w:right w:w="-123" w:type="dxa"/>
            </w:tcMar>
            <w:vAlign w:val="center"/>
          </w:tcPr>
          <w:p w14:paraId="4BDF54FC" w14:textId="77777777" w:rsidR="00340A38" w:rsidRDefault="00340A38">
            <w:pPr>
              <w:spacing w:after="0" w:line="276" w:lineRule="auto"/>
              <w:rPr>
                <w:sz w:val="18"/>
                <w:szCs w:val="18"/>
              </w:rPr>
            </w:pPr>
          </w:p>
        </w:tc>
      </w:tr>
      <w:tr w:rsidR="00340A38" w14:paraId="4AFC302F" w14:textId="77777777">
        <w:tc>
          <w:tcPr>
            <w:tcW w:w="4725" w:type="dxa"/>
            <w:tcBorders>
              <w:top w:val="nil"/>
              <w:left w:val="nil"/>
              <w:bottom w:val="single" w:sz="4" w:space="0" w:color="000000"/>
              <w:right w:val="nil"/>
            </w:tcBorders>
            <w:tcMar>
              <w:top w:w="-123" w:type="dxa"/>
              <w:left w:w="-123" w:type="dxa"/>
              <w:bottom w:w="-123" w:type="dxa"/>
              <w:right w:w="-123" w:type="dxa"/>
            </w:tcMar>
            <w:vAlign w:val="center"/>
          </w:tcPr>
          <w:p w14:paraId="1DB11595" w14:textId="77777777" w:rsidR="00340A38" w:rsidRDefault="00000000">
            <w:pPr>
              <w:spacing w:after="0" w:line="276" w:lineRule="auto"/>
              <w:rPr>
                <w:sz w:val="18"/>
                <w:szCs w:val="18"/>
              </w:rPr>
            </w:pPr>
            <w:r>
              <w:rPr>
                <w:sz w:val="18"/>
                <w:szCs w:val="18"/>
              </w:rPr>
              <w:t>Factor component</w:t>
            </w:r>
          </w:p>
        </w:tc>
        <w:tc>
          <w:tcPr>
            <w:tcW w:w="1155" w:type="dxa"/>
            <w:tcBorders>
              <w:top w:val="nil"/>
              <w:left w:val="nil"/>
              <w:bottom w:val="single" w:sz="4" w:space="0" w:color="000000"/>
              <w:right w:val="nil"/>
            </w:tcBorders>
            <w:tcMar>
              <w:top w:w="-123" w:type="dxa"/>
              <w:left w:w="-123" w:type="dxa"/>
              <w:bottom w:w="-123" w:type="dxa"/>
              <w:right w:w="-123" w:type="dxa"/>
            </w:tcMar>
            <w:vAlign w:val="center"/>
          </w:tcPr>
          <w:p w14:paraId="2D95AAEE" w14:textId="77777777" w:rsidR="00340A38" w:rsidRDefault="00000000">
            <w:pPr>
              <w:spacing w:after="0" w:line="276" w:lineRule="auto"/>
              <w:rPr>
                <w:sz w:val="18"/>
                <w:szCs w:val="18"/>
              </w:rPr>
            </w:pPr>
            <w:r>
              <w:rPr>
                <w:sz w:val="18"/>
                <w:szCs w:val="18"/>
              </w:rPr>
              <w:t>Eigenvalues</w:t>
            </w:r>
          </w:p>
        </w:tc>
        <w:tc>
          <w:tcPr>
            <w:tcW w:w="3540" w:type="dxa"/>
            <w:tcBorders>
              <w:top w:val="nil"/>
              <w:left w:val="nil"/>
              <w:bottom w:val="single" w:sz="4" w:space="0" w:color="000000"/>
              <w:right w:val="nil"/>
            </w:tcBorders>
            <w:tcMar>
              <w:top w:w="-123" w:type="dxa"/>
              <w:left w:w="-123" w:type="dxa"/>
              <w:bottom w:w="-123" w:type="dxa"/>
              <w:right w:w="-123" w:type="dxa"/>
            </w:tcMar>
            <w:vAlign w:val="center"/>
          </w:tcPr>
          <w:p w14:paraId="61CB2FF8" w14:textId="77777777" w:rsidR="00340A38" w:rsidRDefault="00340A38">
            <w:pPr>
              <w:spacing w:after="0" w:line="276" w:lineRule="auto"/>
              <w:rPr>
                <w:sz w:val="18"/>
                <w:szCs w:val="18"/>
              </w:rPr>
            </w:pPr>
          </w:p>
        </w:tc>
      </w:tr>
      <w:tr w:rsidR="00340A38" w14:paraId="3C78B42C" w14:textId="77777777">
        <w:tc>
          <w:tcPr>
            <w:tcW w:w="4725" w:type="dxa"/>
            <w:tcBorders>
              <w:top w:val="single" w:sz="4" w:space="0" w:color="000000"/>
              <w:left w:val="nil"/>
              <w:bottom w:val="nil"/>
              <w:right w:val="nil"/>
            </w:tcBorders>
            <w:tcMar>
              <w:top w:w="-123" w:type="dxa"/>
              <w:left w:w="-123" w:type="dxa"/>
              <w:bottom w:w="-123" w:type="dxa"/>
              <w:right w:w="-123" w:type="dxa"/>
            </w:tcMar>
            <w:vAlign w:val="center"/>
          </w:tcPr>
          <w:p w14:paraId="47D154EA" w14:textId="77777777" w:rsidR="00340A38" w:rsidRDefault="00000000">
            <w:pPr>
              <w:spacing w:after="0" w:line="276" w:lineRule="auto"/>
              <w:rPr>
                <w:sz w:val="18"/>
                <w:szCs w:val="18"/>
              </w:rPr>
            </w:pPr>
            <w:r>
              <w:rPr>
                <w:sz w:val="18"/>
                <w:szCs w:val="18"/>
              </w:rPr>
              <w:t>1</w:t>
            </w:r>
          </w:p>
        </w:tc>
        <w:tc>
          <w:tcPr>
            <w:tcW w:w="1155" w:type="dxa"/>
            <w:tcBorders>
              <w:top w:val="single" w:sz="4" w:space="0" w:color="000000"/>
              <w:left w:val="nil"/>
              <w:bottom w:val="nil"/>
              <w:right w:val="nil"/>
            </w:tcBorders>
            <w:tcMar>
              <w:top w:w="-123" w:type="dxa"/>
              <w:left w:w="-123" w:type="dxa"/>
              <w:bottom w:w="-123" w:type="dxa"/>
              <w:right w:w="-123" w:type="dxa"/>
            </w:tcMar>
            <w:vAlign w:val="center"/>
          </w:tcPr>
          <w:p w14:paraId="44B366AE" w14:textId="77777777" w:rsidR="00340A38" w:rsidRDefault="00000000">
            <w:pPr>
              <w:spacing w:after="0" w:line="276" w:lineRule="auto"/>
              <w:rPr>
                <w:sz w:val="18"/>
                <w:szCs w:val="18"/>
              </w:rPr>
            </w:pPr>
            <w:r>
              <w:rPr>
                <w:sz w:val="18"/>
                <w:szCs w:val="18"/>
              </w:rPr>
              <w:t>1.498</w:t>
            </w:r>
          </w:p>
        </w:tc>
        <w:tc>
          <w:tcPr>
            <w:tcW w:w="3540" w:type="dxa"/>
            <w:tcBorders>
              <w:top w:val="single" w:sz="4" w:space="0" w:color="000000"/>
              <w:left w:val="nil"/>
              <w:bottom w:val="nil"/>
              <w:right w:val="nil"/>
            </w:tcBorders>
            <w:tcMar>
              <w:top w:w="-123" w:type="dxa"/>
              <w:left w:w="-123" w:type="dxa"/>
              <w:bottom w:w="-123" w:type="dxa"/>
              <w:right w:w="-123" w:type="dxa"/>
            </w:tcMar>
            <w:vAlign w:val="center"/>
          </w:tcPr>
          <w:p w14:paraId="3176FA9A" w14:textId="77777777" w:rsidR="00340A38" w:rsidRDefault="00340A38">
            <w:pPr>
              <w:spacing w:after="0" w:line="276" w:lineRule="auto"/>
              <w:rPr>
                <w:sz w:val="18"/>
                <w:szCs w:val="18"/>
              </w:rPr>
            </w:pPr>
          </w:p>
        </w:tc>
      </w:tr>
      <w:tr w:rsidR="00340A38" w14:paraId="46505A9A" w14:textId="77777777">
        <w:tc>
          <w:tcPr>
            <w:tcW w:w="4725" w:type="dxa"/>
            <w:tcBorders>
              <w:top w:val="nil"/>
              <w:left w:val="nil"/>
              <w:bottom w:val="nil"/>
              <w:right w:val="nil"/>
            </w:tcBorders>
            <w:tcMar>
              <w:top w:w="-123" w:type="dxa"/>
              <w:left w:w="-123" w:type="dxa"/>
              <w:bottom w:w="-123" w:type="dxa"/>
              <w:right w:w="-123" w:type="dxa"/>
            </w:tcMar>
            <w:vAlign w:val="center"/>
          </w:tcPr>
          <w:p w14:paraId="7DA4C7BC" w14:textId="77777777" w:rsidR="00340A38" w:rsidRDefault="00000000">
            <w:pPr>
              <w:spacing w:after="0" w:line="276" w:lineRule="auto"/>
              <w:rPr>
                <w:sz w:val="18"/>
                <w:szCs w:val="18"/>
              </w:rPr>
            </w:pPr>
            <w:r>
              <w:rPr>
                <w:sz w:val="18"/>
                <w:szCs w:val="18"/>
              </w:rPr>
              <w:t>2</w:t>
            </w:r>
          </w:p>
        </w:tc>
        <w:tc>
          <w:tcPr>
            <w:tcW w:w="1155" w:type="dxa"/>
            <w:tcBorders>
              <w:top w:val="nil"/>
              <w:left w:val="nil"/>
              <w:bottom w:val="nil"/>
              <w:right w:val="nil"/>
            </w:tcBorders>
            <w:tcMar>
              <w:top w:w="-123" w:type="dxa"/>
              <w:left w:w="-123" w:type="dxa"/>
              <w:bottom w:w="-123" w:type="dxa"/>
              <w:right w:w="-123" w:type="dxa"/>
            </w:tcMar>
            <w:vAlign w:val="center"/>
          </w:tcPr>
          <w:p w14:paraId="358F69A3" w14:textId="77777777" w:rsidR="00340A38" w:rsidRDefault="00000000">
            <w:pPr>
              <w:spacing w:after="0" w:line="276" w:lineRule="auto"/>
              <w:rPr>
                <w:sz w:val="18"/>
                <w:szCs w:val="18"/>
              </w:rPr>
            </w:pPr>
            <w:r>
              <w:rPr>
                <w:sz w:val="18"/>
                <w:szCs w:val="18"/>
              </w:rPr>
              <w:t>0.964</w:t>
            </w:r>
          </w:p>
        </w:tc>
        <w:tc>
          <w:tcPr>
            <w:tcW w:w="3540" w:type="dxa"/>
            <w:tcBorders>
              <w:top w:val="nil"/>
              <w:left w:val="nil"/>
              <w:bottom w:val="nil"/>
              <w:right w:val="nil"/>
            </w:tcBorders>
            <w:tcMar>
              <w:top w:w="-123" w:type="dxa"/>
              <w:left w:w="-123" w:type="dxa"/>
              <w:bottom w:w="-123" w:type="dxa"/>
              <w:right w:w="-123" w:type="dxa"/>
            </w:tcMar>
            <w:vAlign w:val="center"/>
          </w:tcPr>
          <w:p w14:paraId="59D47319" w14:textId="77777777" w:rsidR="00340A38" w:rsidRDefault="00340A38">
            <w:pPr>
              <w:spacing w:after="0" w:line="276" w:lineRule="auto"/>
              <w:rPr>
                <w:sz w:val="18"/>
                <w:szCs w:val="18"/>
              </w:rPr>
            </w:pPr>
          </w:p>
        </w:tc>
      </w:tr>
      <w:tr w:rsidR="00340A38" w14:paraId="1B6ED740" w14:textId="77777777">
        <w:tc>
          <w:tcPr>
            <w:tcW w:w="4725" w:type="dxa"/>
            <w:tcBorders>
              <w:top w:val="nil"/>
              <w:left w:val="nil"/>
              <w:bottom w:val="nil"/>
              <w:right w:val="nil"/>
            </w:tcBorders>
            <w:tcMar>
              <w:top w:w="-123" w:type="dxa"/>
              <w:left w:w="-123" w:type="dxa"/>
              <w:bottom w:w="-123" w:type="dxa"/>
              <w:right w:w="-123" w:type="dxa"/>
            </w:tcMar>
            <w:vAlign w:val="center"/>
          </w:tcPr>
          <w:p w14:paraId="13B09B97" w14:textId="77777777" w:rsidR="00340A38" w:rsidRDefault="00000000">
            <w:pPr>
              <w:spacing w:after="0" w:line="276" w:lineRule="auto"/>
              <w:rPr>
                <w:sz w:val="18"/>
                <w:szCs w:val="18"/>
              </w:rPr>
            </w:pPr>
            <w:r>
              <w:rPr>
                <w:sz w:val="18"/>
                <w:szCs w:val="18"/>
              </w:rPr>
              <w:t>3</w:t>
            </w:r>
          </w:p>
        </w:tc>
        <w:tc>
          <w:tcPr>
            <w:tcW w:w="1155" w:type="dxa"/>
            <w:tcBorders>
              <w:top w:val="nil"/>
              <w:left w:val="nil"/>
              <w:bottom w:val="nil"/>
              <w:right w:val="nil"/>
            </w:tcBorders>
            <w:tcMar>
              <w:top w:w="-123" w:type="dxa"/>
              <w:left w:w="-123" w:type="dxa"/>
              <w:bottom w:w="-123" w:type="dxa"/>
              <w:right w:w="-123" w:type="dxa"/>
            </w:tcMar>
            <w:vAlign w:val="center"/>
          </w:tcPr>
          <w:p w14:paraId="794DBAEE" w14:textId="77777777" w:rsidR="00340A38" w:rsidRDefault="00000000">
            <w:pPr>
              <w:spacing w:after="0" w:line="276" w:lineRule="auto"/>
              <w:rPr>
                <w:sz w:val="18"/>
                <w:szCs w:val="18"/>
              </w:rPr>
            </w:pPr>
            <w:r>
              <w:rPr>
                <w:sz w:val="18"/>
                <w:szCs w:val="18"/>
              </w:rPr>
              <w:t>0.538</w:t>
            </w:r>
          </w:p>
        </w:tc>
        <w:tc>
          <w:tcPr>
            <w:tcW w:w="3540" w:type="dxa"/>
            <w:tcBorders>
              <w:top w:val="nil"/>
              <w:left w:val="nil"/>
              <w:bottom w:val="nil"/>
              <w:right w:val="nil"/>
            </w:tcBorders>
            <w:tcMar>
              <w:top w:w="-123" w:type="dxa"/>
              <w:left w:w="-123" w:type="dxa"/>
              <w:bottom w:w="-123" w:type="dxa"/>
              <w:right w:w="-123" w:type="dxa"/>
            </w:tcMar>
            <w:vAlign w:val="center"/>
          </w:tcPr>
          <w:p w14:paraId="36093CD0" w14:textId="77777777" w:rsidR="00340A38" w:rsidRDefault="00340A38">
            <w:pPr>
              <w:spacing w:after="0" w:line="276" w:lineRule="auto"/>
              <w:rPr>
                <w:sz w:val="18"/>
                <w:szCs w:val="18"/>
              </w:rPr>
            </w:pPr>
          </w:p>
        </w:tc>
      </w:tr>
      <w:tr w:rsidR="00340A38" w14:paraId="296F5392" w14:textId="77777777">
        <w:tc>
          <w:tcPr>
            <w:tcW w:w="4725" w:type="dxa"/>
            <w:tcBorders>
              <w:top w:val="nil"/>
              <w:left w:val="nil"/>
              <w:bottom w:val="nil"/>
              <w:right w:val="nil"/>
            </w:tcBorders>
            <w:tcMar>
              <w:top w:w="-123" w:type="dxa"/>
              <w:left w:w="-123" w:type="dxa"/>
              <w:bottom w:w="-123" w:type="dxa"/>
              <w:right w:w="-123" w:type="dxa"/>
            </w:tcMar>
            <w:vAlign w:val="center"/>
          </w:tcPr>
          <w:p w14:paraId="06446402" w14:textId="77777777" w:rsidR="00340A38" w:rsidRDefault="00340A38">
            <w:pPr>
              <w:spacing w:after="0" w:line="276" w:lineRule="auto"/>
              <w:rPr>
                <w:sz w:val="18"/>
                <w:szCs w:val="18"/>
              </w:rPr>
            </w:pPr>
          </w:p>
        </w:tc>
        <w:tc>
          <w:tcPr>
            <w:tcW w:w="1155" w:type="dxa"/>
            <w:tcBorders>
              <w:top w:val="nil"/>
              <w:left w:val="nil"/>
              <w:bottom w:val="nil"/>
              <w:right w:val="nil"/>
            </w:tcBorders>
            <w:tcMar>
              <w:top w:w="-123" w:type="dxa"/>
              <w:left w:w="-123" w:type="dxa"/>
              <w:bottom w:w="-123" w:type="dxa"/>
              <w:right w:w="-123" w:type="dxa"/>
            </w:tcMar>
            <w:vAlign w:val="center"/>
          </w:tcPr>
          <w:p w14:paraId="08BD4538" w14:textId="77777777" w:rsidR="00340A38" w:rsidRDefault="00340A38">
            <w:pPr>
              <w:spacing w:after="0" w:line="276" w:lineRule="auto"/>
              <w:rPr>
                <w:sz w:val="18"/>
                <w:szCs w:val="18"/>
              </w:rPr>
            </w:pPr>
          </w:p>
        </w:tc>
        <w:tc>
          <w:tcPr>
            <w:tcW w:w="3540" w:type="dxa"/>
            <w:tcBorders>
              <w:top w:val="nil"/>
              <w:left w:val="nil"/>
              <w:bottom w:val="nil"/>
              <w:right w:val="nil"/>
            </w:tcBorders>
            <w:tcMar>
              <w:top w:w="-123" w:type="dxa"/>
              <w:left w:w="-123" w:type="dxa"/>
              <w:bottom w:w="-123" w:type="dxa"/>
              <w:right w:w="-123" w:type="dxa"/>
            </w:tcMar>
            <w:vAlign w:val="center"/>
          </w:tcPr>
          <w:p w14:paraId="60153A6D" w14:textId="77777777" w:rsidR="00340A38" w:rsidRDefault="00340A38">
            <w:pPr>
              <w:spacing w:after="0" w:line="276" w:lineRule="auto"/>
              <w:rPr>
                <w:sz w:val="18"/>
                <w:szCs w:val="18"/>
              </w:rPr>
            </w:pPr>
          </w:p>
        </w:tc>
      </w:tr>
      <w:tr w:rsidR="00340A38" w14:paraId="6188626E" w14:textId="77777777">
        <w:tc>
          <w:tcPr>
            <w:tcW w:w="4725" w:type="dxa"/>
            <w:tcBorders>
              <w:top w:val="nil"/>
              <w:left w:val="nil"/>
              <w:bottom w:val="single" w:sz="4" w:space="0" w:color="000000"/>
              <w:right w:val="nil"/>
            </w:tcBorders>
            <w:tcMar>
              <w:top w:w="-123" w:type="dxa"/>
              <w:left w:w="-123" w:type="dxa"/>
              <w:bottom w:w="-123" w:type="dxa"/>
              <w:right w:w="-123" w:type="dxa"/>
            </w:tcMar>
            <w:vAlign w:val="center"/>
          </w:tcPr>
          <w:p w14:paraId="2EE5D810" w14:textId="77777777" w:rsidR="00340A38" w:rsidRDefault="00000000">
            <w:pPr>
              <w:spacing w:after="0" w:line="276" w:lineRule="auto"/>
              <w:rPr>
                <w:sz w:val="18"/>
                <w:szCs w:val="18"/>
              </w:rPr>
            </w:pPr>
            <w:r>
              <w:rPr>
                <w:sz w:val="18"/>
                <w:szCs w:val="18"/>
              </w:rPr>
              <w:t>Variable</w:t>
            </w:r>
          </w:p>
        </w:tc>
        <w:tc>
          <w:tcPr>
            <w:tcW w:w="1155" w:type="dxa"/>
            <w:tcBorders>
              <w:top w:val="nil"/>
              <w:left w:val="nil"/>
              <w:bottom w:val="single" w:sz="4" w:space="0" w:color="000000"/>
              <w:right w:val="nil"/>
            </w:tcBorders>
            <w:tcMar>
              <w:top w:w="-123" w:type="dxa"/>
              <w:left w:w="-123" w:type="dxa"/>
              <w:bottom w:w="-123" w:type="dxa"/>
              <w:right w:w="-123" w:type="dxa"/>
            </w:tcMar>
            <w:vAlign w:val="center"/>
          </w:tcPr>
          <w:p w14:paraId="429EB75A" w14:textId="77777777" w:rsidR="00340A38" w:rsidRDefault="00000000">
            <w:pPr>
              <w:spacing w:after="0" w:line="276" w:lineRule="auto"/>
              <w:rPr>
                <w:sz w:val="18"/>
                <w:szCs w:val="18"/>
              </w:rPr>
            </w:pPr>
            <w:r>
              <w:rPr>
                <w:sz w:val="18"/>
                <w:szCs w:val="18"/>
              </w:rPr>
              <w:t>Factor loading</w:t>
            </w:r>
          </w:p>
        </w:tc>
        <w:tc>
          <w:tcPr>
            <w:tcW w:w="3540" w:type="dxa"/>
            <w:tcBorders>
              <w:top w:val="nil"/>
              <w:left w:val="nil"/>
              <w:bottom w:val="single" w:sz="4" w:space="0" w:color="000000"/>
              <w:right w:val="nil"/>
            </w:tcBorders>
            <w:tcMar>
              <w:top w:w="-123" w:type="dxa"/>
              <w:left w:w="-123" w:type="dxa"/>
              <w:bottom w:w="-123" w:type="dxa"/>
              <w:right w:w="-123" w:type="dxa"/>
            </w:tcMar>
            <w:vAlign w:val="center"/>
          </w:tcPr>
          <w:p w14:paraId="5DECD3DB" w14:textId="77777777" w:rsidR="00340A38" w:rsidRDefault="00340A38">
            <w:pPr>
              <w:spacing w:after="0" w:line="276" w:lineRule="auto"/>
              <w:rPr>
                <w:sz w:val="18"/>
                <w:szCs w:val="18"/>
              </w:rPr>
            </w:pPr>
          </w:p>
        </w:tc>
      </w:tr>
      <w:tr w:rsidR="00340A38" w14:paraId="33FAA6F0" w14:textId="77777777">
        <w:tc>
          <w:tcPr>
            <w:tcW w:w="4725" w:type="dxa"/>
            <w:tcBorders>
              <w:top w:val="single" w:sz="4" w:space="0" w:color="000000"/>
              <w:left w:val="nil"/>
              <w:bottom w:val="nil"/>
              <w:right w:val="nil"/>
            </w:tcBorders>
            <w:tcMar>
              <w:top w:w="-123" w:type="dxa"/>
              <w:left w:w="-123" w:type="dxa"/>
              <w:bottom w:w="-123" w:type="dxa"/>
              <w:right w:w="-123" w:type="dxa"/>
            </w:tcMar>
            <w:vAlign w:val="center"/>
          </w:tcPr>
          <w:p w14:paraId="4835090D" w14:textId="77777777" w:rsidR="00340A38" w:rsidRDefault="00000000">
            <w:pPr>
              <w:spacing w:after="0" w:line="276" w:lineRule="auto"/>
              <w:rPr>
                <w:sz w:val="18"/>
                <w:szCs w:val="18"/>
              </w:rPr>
            </w:pPr>
            <w:r>
              <w:rPr>
                <w:sz w:val="18"/>
                <w:szCs w:val="18"/>
              </w:rPr>
              <w:t>BDN</w:t>
            </w:r>
          </w:p>
        </w:tc>
        <w:tc>
          <w:tcPr>
            <w:tcW w:w="1155" w:type="dxa"/>
            <w:tcBorders>
              <w:top w:val="single" w:sz="4" w:space="0" w:color="000000"/>
              <w:left w:val="nil"/>
              <w:bottom w:val="nil"/>
              <w:right w:val="nil"/>
            </w:tcBorders>
            <w:tcMar>
              <w:top w:w="-123" w:type="dxa"/>
              <w:left w:w="-123" w:type="dxa"/>
              <w:bottom w:w="-123" w:type="dxa"/>
              <w:right w:w="-123" w:type="dxa"/>
            </w:tcMar>
            <w:vAlign w:val="center"/>
          </w:tcPr>
          <w:p w14:paraId="35A91190" w14:textId="77777777" w:rsidR="00340A38" w:rsidRDefault="00000000">
            <w:pPr>
              <w:spacing w:after="0" w:line="276" w:lineRule="auto"/>
              <w:rPr>
                <w:sz w:val="18"/>
                <w:szCs w:val="18"/>
              </w:rPr>
            </w:pPr>
            <w:r>
              <w:rPr>
                <w:sz w:val="18"/>
                <w:szCs w:val="18"/>
              </w:rPr>
              <w:t>-0.999</w:t>
            </w:r>
          </w:p>
        </w:tc>
        <w:tc>
          <w:tcPr>
            <w:tcW w:w="3540" w:type="dxa"/>
            <w:tcBorders>
              <w:top w:val="single" w:sz="4" w:space="0" w:color="000000"/>
              <w:left w:val="nil"/>
              <w:bottom w:val="nil"/>
              <w:right w:val="nil"/>
            </w:tcBorders>
            <w:tcMar>
              <w:top w:w="-123" w:type="dxa"/>
              <w:left w:w="-123" w:type="dxa"/>
              <w:bottom w:w="-123" w:type="dxa"/>
              <w:right w:w="-123" w:type="dxa"/>
            </w:tcMar>
            <w:vAlign w:val="center"/>
          </w:tcPr>
          <w:p w14:paraId="321392FC" w14:textId="77777777" w:rsidR="00340A38" w:rsidRDefault="00340A38">
            <w:pPr>
              <w:spacing w:after="0" w:line="276" w:lineRule="auto"/>
              <w:rPr>
                <w:sz w:val="18"/>
                <w:szCs w:val="18"/>
              </w:rPr>
            </w:pPr>
          </w:p>
        </w:tc>
      </w:tr>
      <w:tr w:rsidR="00340A38" w14:paraId="276ABF4F" w14:textId="77777777">
        <w:tc>
          <w:tcPr>
            <w:tcW w:w="4725" w:type="dxa"/>
            <w:tcBorders>
              <w:top w:val="nil"/>
              <w:left w:val="nil"/>
              <w:bottom w:val="nil"/>
              <w:right w:val="nil"/>
            </w:tcBorders>
            <w:tcMar>
              <w:top w:w="-123" w:type="dxa"/>
              <w:left w:w="-123" w:type="dxa"/>
              <w:bottom w:w="-123" w:type="dxa"/>
              <w:right w:w="-123" w:type="dxa"/>
            </w:tcMar>
            <w:vAlign w:val="center"/>
          </w:tcPr>
          <w:p w14:paraId="31E3136A" w14:textId="77777777" w:rsidR="00340A38" w:rsidRDefault="00000000">
            <w:pPr>
              <w:spacing w:after="0" w:line="276" w:lineRule="auto"/>
              <w:rPr>
                <w:sz w:val="18"/>
                <w:szCs w:val="18"/>
              </w:rPr>
            </w:pPr>
            <w:r>
              <w:rPr>
                <w:sz w:val="18"/>
                <w:szCs w:val="18"/>
              </w:rPr>
              <w:t>BIND</w:t>
            </w:r>
          </w:p>
        </w:tc>
        <w:tc>
          <w:tcPr>
            <w:tcW w:w="1155" w:type="dxa"/>
            <w:tcBorders>
              <w:top w:val="nil"/>
              <w:left w:val="nil"/>
              <w:bottom w:val="nil"/>
              <w:right w:val="nil"/>
            </w:tcBorders>
            <w:tcMar>
              <w:top w:w="-123" w:type="dxa"/>
              <w:left w:w="-123" w:type="dxa"/>
              <w:bottom w:w="-123" w:type="dxa"/>
              <w:right w:w="-123" w:type="dxa"/>
            </w:tcMar>
            <w:vAlign w:val="center"/>
          </w:tcPr>
          <w:p w14:paraId="6F6C9542" w14:textId="77777777" w:rsidR="00340A38" w:rsidRDefault="00000000">
            <w:pPr>
              <w:spacing w:after="0" w:line="276" w:lineRule="auto"/>
              <w:rPr>
                <w:sz w:val="18"/>
                <w:szCs w:val="18"/>
              </w:rPr>
            </w:pPr>
            <w:r>
              <w:rPr>
                <w:sz w:val="18"/>
                <w:szCs w:val="18"/>
              </w:rPr>
              <w:t>0.440</w:t>
            </w:r>
          </w:p>
        </w:tc>
        <w:tc>
          <w:tcPr>
            <w:tcW w:w="3540" w:type="dxa"/>
            <w:tcBorders>
              <w:top w:val="nil"/>
              <w:left w:val="nil"/>
              <w:bottom w:val="nil"/>
              <w:right w:val="nil"/>
            </w:tcBorders>
            <w:tcMar>
              <w:top w:w="-123" w:type="dxa"/>
              <w:left w:w="-123" w:type="dxa"/>
              <w:bottom w:w="-123" w:type="dxa"/>
              <w:right w:w="-123" w:type="dxa"/>
            </w:tcMar>
            <w:vAlign w:val="center"/>
          </w:tcPr>
          <w:p w14:paraId="33A6F751" w14:textId="77777777" w:rsidR="00340A38" w:rsidRDefault="00340A38">
            <w:pPr>
              <w:spacing w:after="0" w:line="276" w:lineRule="auto"/>
              <w:rPr>
                <w:sz w:val="18"/>
                <w:szCs w:val="18"/>
              </w:rPr>
            </w:pPr>
          </w:p>
        </w:tc>
      </w:tr>
      <w:tr w:rsidR="00340A38" w14:paraId="38272EE6" w14:textId="77777777">
        <w:tc>
          <w:tcPr>
            <w:tcW w:w="4725" w:type="dxa"/>
            <w:tcBorders>
              <w:top w:val="nil"/>
              <w:left w:val="nil"/>
              <w:bottom w:val="nil"/>
              <w:right w:val="nil"/>
            </w:tcBorders>
            <w:tcMar>
              <w:top w:w="-123" w:type="dxa"/>
              <w:left w:w="-123" w:type="dxa"/>
              <w:bottom w:w="-123" w:type="dxa"/>
              <w:right w:w="-123" w:type="dxa"/>
            </w:tcMar>
            <w:vAlign w:val="center"/>
          </w:tcPr>
          <w:p w14:paraId="453A0E38" w14:textId="77777777" w:rsidR="00340A38" w:rsidRDefault="00000000">
            <w:pPr>
              <w:spacing w:after="0" w:line="276" w:lineRule="auto"/>
              <w:rPr>
                <w:sz w:val="18"/>
                <w:szCs w:val="18"/>
              </w:rPr>
            </w:pPr>
            <w:r>
              <w:rPr>
                <w:sz w:val="18"/>
                <w:szCs w:val="18"/>
              </w:rPr>
              <w:t>BSWP</w:t>
            </w:r>
          </w:p>
        </w:tc>
        <w:tc>
          <w:tcPr>
            <w:tcW w:w="1155" w:type="dxa"/>
            <w:tcBorders>
              <w:top w:val="nil"/>
              <w:left w:val="nil"/>
              <w:bottom w:val="nil"/>
              <w:right w:val="nil"/>
            </w:tcBorders>
            <w:tcMar>
              <w:top w:w="-123" w:type="dxa"/>
              <w:left w:w="-123" w:type="dxa"/>
              <w:bottom w:w="-123" w:type="dxa"/>
              <w:right w:w="-123" w:type="dxa"/>
            </w:tcMar>
            <w:vAlign w:val="center"/>
          </w:tcPr>
          <w:p w14:paraId="5F404FFC" w14:textId="77777777" w:rsidR="00340A38" w:rsidRDefault="00000000">
            <w:pPr>
              <w:spacing w:after="0" w:line="276" w:lineRule="auto"/>
              <w:rPr>
                <w:sz w:val="18"/>
                <w:szCs w:val="18"/>
              </w:rPr>
            </w:pPr>
            <w:r>
              <w:rPr>
                <w:sz w:val="18"/>
                <w:szCs w:val="18"/>
              </w:rPr>
              <w:t>0.169</w:t>
            </w:r>
          </w:p>
        </w:tc>
        <w:tc>
          <w:tcPr>
            <w:tcW w:w="3540" w:type="dxa"/>
            <w:tcBorders>
              <w:top w:val="nil"/>
              <w:left w:val="nil"/>
              <w:bottom w:val="nil"/>
              <w:right w:val="nil"/>
            </w:tcBorders>
            <w:tcMar>
              <w:top w:w="-123" w:type="dxa"/>
              <w:left w:w="-123" w:type="dxa"/>
              <w:bottom w:w="-123" w:type="dxa"/>
              <w:right w:w="-123" w:type="dxa"/>
            </w:tcMar>
            <w:vAlign w:val="center"/>
          </w:tcPr>
          <w:p w14:paraId="414967FD" w14:textId="77777777" w:rsidR="00340A38" w:rsidRDefault="00340A38">
            <w:pPr>
              <w:spacing w:after="0" w:line="276" w:lineRule="auto"/>
              <w:rPr>
                <w:sz w:val="18"/>
                <w:szCs w:val="18"/>
              </w:rPr>
            </w:pPr>
          </w:p>
        </w:tc>
      </w:tr>
    </w:tbl>
    <w:p w14:paraId="523F0D2A" w14:textId="77777777" w:rsidR="00340A38" w:rsidRDefault="00340A38">
      <w:pPr>
        <w:spacing w:after="0"/>
        <w:rPr>
          <w:sz w:val="18"/>
          <w:szCs w:val="18"/>
        </w:rPr>
      </w:pPr>
    </w:p>
    <w:p w14:paraId="57E8D567" w14:textId="0B97351B" w:rsidR="00340A38" w:rsidRPr="00520A60" w:rsidRDefault="00000000" w:rsidP="00520A60">
      <w:pPr>
        <w:spacing w:after="0"/>
        <w:rPr>
          <w:b/>
          <w:sz w:val="18"/>
          <w:szCs w:val="18"/>
        </w:rPr>
      </w:pPr>
      <w:r w:rsidRPr="00520A60">
        <w:rPr>
          <w:b/>
          <w:sz w:val="18"/>
          <w:szCs w:val="18"/>
        </w:rPr>
        <w:t xml:space="preserve">Panel </w:t>
      </w:r>
      <w:r w:rsidR="00520A60">
        <w:rPr>
          <w:b/>
          <w:sz w:val="18"/>
          <w:szCs w:val="18"/>
        </w:rPr>
        <w:t>C</w:t>
      </w:r>
      <w:r w:rsidRPr="00520A60">
        <w:rPr>
          <w:b/>
          <w:sz w:val="18"/>
          <w:szCs w:val="18"/>
        </w:rPr>
        <w:t>: Principal component analysis and Factor analysis descriptive statistics</w:t>
      </w:r>
    </w:p>
    <w:tbl>
      <w:tblPr>
        <w:tblStyle w:val="a8"/>
        <w:tblW w:w="9855" w:type="dxa"/>
        <w:tblInd w:w="-105" w:type="dxa"/>
        <w:tblBorders>
          <w:top w:val="nil"/>
          <w:left w:val="nil"/>
          <w:bottom w:val="nil"/>
          <w:right w:val="nil"/>
          <w:insideH w:val="nil"/>
          <w:insideV w:val="nil"/>
        </w:tblBorders>
        <w:tblLayout w:type="fixed"/>
        <w:tblLook w:val="0600" w:firstRow="0" w:lastRow="0" w:firstColumn="0" w:lastColumn="0" w:noHBand="1" w:noVBand="1"/>
      </w:tblPr>
      <w:tblGrid>
        <w:gridCol w:w="1095"/>
        <w:gridCol w:w="1260"/>
        <w:gridCol w:w="1260"/>
        <w:gridCol w:w="1260"/>
        <w:gridCol w:w="1245"/>
        <w:gridCol w:w="1245"/>
        <w:gridCol w:w="1245"/>
        <w:gridCol w:w="1245"/>
      </w:tblGrid>
      <w:tr w:rsidR="00340A38" w14:paraId="440CBAA8" w14:textId="77777777">
        <w:tc>
          <w:tcPr>
            <w:tcW w:w="1095" w:type="dxa"/>
            <w:tcBorders>
              <w:top w:val="nil"/>
              <w:left w:val="nil"/>
              <w:bottom w:val="single" w:sz="3" w:space="0" w:color="000000"/>
              <w:right w:val="nil"/>
            </w:tcBorders>
            <w:tcMar>
              <w:top w:w="-123" w:type="dxa"/>
              <w:left w:w="-123" w:type="dxa"/>
              <w:bottom w:w="-123" w:type="dxa"/>
              <w:right w:w="-123" w:type="dxa"/>
            </w:tcMar>
          </w:tcPr>
          <w:p w14:paraId="1A4FC5C2" w14:textId="77777777" w:rsidR="00340A38" w:rsidRDefault="00340A38">
            <w:pPr>
              <w:spacing w:after="0" w:line="276" w:lineRule="auto"/>
              <w:jc w:val="center"/>
              <w:rPr>
                <w:sz w:val="18"/>
                <w:szCs w:val="18"/>
              </w:rPr>
            </w:pPr>
          </w:p>
        </w:tc>
        <w:tc>
          <w:tcPr>
            <w:tcW w:w="1260" w:type="dxa"/>
            <w:tcBorders>
              <w:top w:val="nil"/>
              <w:left w:val="nil"/>
              <w:bottom w:val="single" w:sz="3" w:space="0" w:color="000000"/>
              <w:right w:val="nil"/>
            </w:tcBorders>
            <w:tcMar>
              <w:top w:w="-123" w:type="dxa"/>
              <w:left w:w="-123" w:type="dxa"/>
              <w:bottom w:w="-123" w:type="dxa"/>
              <w:right w:w="-123" w:type="dxa"/>
            </w:tcMar>
          </w:tcPr>
          <w:p w14:paraId="01626831" w14:textId="77777777" w:rsidR="00340A38" w:rsidRDefault="00000000">
            <w:pPr>
              <w:spacing w:after="0" w:line="276" w:lineRule="auto"/>
              <w:jc w:val="center"/>
              <w:rPr>
                <w:sz w:val="18"/>
                <w:szCs w:val="18"/>
              </w:rPr>
            </w:pPr>
            <w:r>
              <w:rPr>
                <w:b/>
                <w:sz w:val="18"/>
                <w:szCs w:val="18"/>
              </w:rPr>
              <w:t>Mean</w:t>
            </w:r>
          </w:p>
        </w:tc>
        <w:tc>
          <w:tcPr>
            <w:tcW w:w="1260" w:type="dxa"/>
            <w:tcBorders>
              <w:top w:val="nil"/>
              <w:left w:val="nil"/>
              <w:bottom w:val="single" w:sz="3" w:space="0" w:color="000000"/>
              <w:right w:val="nil"/>
            </w:tcBorders>
            <w:tcMar>
              <w:top w:w="-123" w:type="dxa"/>
              <w:left w:w="-123" w:type="dxa"/>
              <w:bottom w:w="-123" w:type="dxa"/>
              <w:right w:w="-123" w:type="dxa"/>
            </w:tcMar>
          </w:tcPr>
          <w:p w14:paraId="3743C292" w14:textId="77777777" w:rsidR="00340A38" w:rsidRDefault="00000000">
            <w:pPr>
              <w:spacing w:after="0" w:line="276" w:lineRule="auto"/>
              <w:jc w:val="center"/>
              <w:rPr>
                <w:sz w:val="18"/>
                <w:szCs w:val="18"/>
              </w:rPr>
            </w:pPr>
            <w:r>
              <w:rPr>
                <w:b/>
                <w:sz w:val="18"/>
                <w:szCs w:val="18"/>
              </w:rPr>
              <w:t>Std</w:t>
            </w:r>
          </w:p>
        </w:tc>
        <w:tc>
          <w:tcPr>
            <w:tcW w:w="1260" w:type="dxa"/>
            <w:tcBorders>
              <w:top w:val="nil"/>
              <w:left w:val="nil"/>
              <w:bottom w:val="single" w:sz="3" w:space="0" w:color="000000"/>
              <w:right w:val="nil"/>
            </w:tcBorders>
            <w:tcMar>
              <w:top w:w="-123" w:type="dxa"/>
              <w:left w:w="-123" w:type="dxa"/>
              <w:bottom w:w="-123" w:type="dxa"/>
              <w:right w:w="-123" w:type="dxa"/>
            </w:tcMar>
          </w:tcPr>
          <w:p w14:paraId="3D8C194E" w14:textId="77777777" w:rsidR="00340A38" w:rsidRDefault="00000000">
            <w:pPr>
              <w:spacing w:after="0" w:line="276" w:lineRule="auto"/>
              <w:jc w:val="center"/>
              <w:rPr>
                <w:sz w:val="18"/>
                <w:szCs w:val="18"/>
              </w:rPr>
            </w:pPr>
            <w:r>
              <w:rPr>
                <w:b/>
                <w:sz w:val="18"/>
                <w:szCs w:val="18"/>
              </w:rPr>
              <w:t>Min</w:t>
            </w:r>
          </w:p>
        </w:tc>
        <w:tc>
          <w:tcPr>
            <w:tcW w:w="1245" w:type="dxa"/>
            <w:tcBorders>
              <w:top w:val="nil"/>
              <w:left w:val="nil"/>
              <w:bottom w:val="single" w:sz="4" w:space="0" w:color="000000"/>
              <w:right w:val="nil"/>
            </w:tcBorders>
            <w:tcMar>
              <w:top w:w="-123" w:type="dxa"/>
              <w:left w:w="-123" w:type="dxa"/>
              <w:bottom w:w="-123" w:type="dxa"/>
              <w:right w:w="-123" w:type="dxa"/>
            </w:tcMar>
          </w:tcPr>
          <w:p w14:paraId="42B3A877" w14:textId="77777777" w:rsidR="00340A38" w:rsidRDefault="00000000">
            <w:pPr>
              <w:spacing w:after="0" w:line="276" w:lineRule="auto"/>
              <w:jc w:val="center"/>
              <w:rPr>
                <w:sz w:val="18"/>
                <w:szCs w:val="18"/>
              </w:rPr>
            </w:pPr>
            <w:r>
              <w:rPr>
                <w:b/>
                <w:sz w:val="18"/>
                <w:szCs w:val="18"/>
              </w:rPr>
              <w:t>Median</w:t>
            </w:r>
          </w:p>
        </w:tc>
        <w:tc>
          <w:tcPr>
            <w:tcW w:w="1245" w:type="dxa"/>
            <w:tcBorders>
              <w:top w:val="nil"/>
              <w:left w:val="nil"/>
              <w:bottom w:val="single" w:sz="3" w:space="0" w:color="000000"/>
              <w:right w:val="nil"/>
            </w:tcBorders>
            <w:tcMar>
              <w:top w:w="-123" w:type="dxa"/>
              <w:left w:w="-123" w:type="dxa"/>
              <w:bottom w:w="-123" w:type="dxa"/>
              <w:right w:w="-123" w:type="dxa"/>
            </w:tcMar>
          </w:tcPr>
          <w:p w14:paraId="0152C2FD" w14:textId="77777777" w:rsidR="00340A38" w:rsidRDefault="00000000">
            <w:pPr>
              <w:spacing w:after="0" w:line="276" w:lineRule="auto"/>
              <w:jc w:val="center"/>
              <w:rPr>
                <w:sz w:val="18"/>
                <w:szCs w:val="18"/>
              </w:rPr>
            </w:pPr>
            <w:r>
              <w:rPr>
                <w:b/>
                <w:sz w:val="18"/>
                <w:szCs w:val="18"/>
              </w:rPr>
              <w:t>Max</w:t>
            </w:r>
          </w:p>
        </w:tc>
        <w:tc>
          <w:tcPr>
            <w:tcW w:w="1245" w:type="dxa"/>
            <w:tcBorders>
              <w:top w:val="nil"/>
              <w:left w:val="nil"/>
              <w:bottom w:val="single" w:sz="3" w:space="0" w:color="000000"/>
              <w:right w:val="nil"/>
            </w:tcBorders>
            <w:tcMar>
              <w:top w:w="-123" w:type="dxa"/>
              <w:left w:w="-123" w:type="dxa"/>
              <w:bottom w:w="-123" w:type="dxa"/>
              <w:right w:w="-123" w:type="dxa"/>
            </w:tcMar>
          </w:tcPr>
          <w:p w14:paraId="5F0F0AA6" w14:textId="77777777" w:rsidR="00340A38" w:rsidRDefault="00000000">
            <w:pPr>
              <w:spacing w:after="0" w:line="276" w:lineRule="auto"/>
              <w:jc w:val="center"/>
              <w:rPr>
                <w:sz w:val="18"/>
                <w:szCs w:val="18"/>
              </w:rPr>
            </w:pPr>
            <w:r>
              <w:rPr>
                <w:b/>
                <w:sz w:val="18"/>
                <w:szCs w:val="18"/>
              </w:rPr>
              <w:t>Skewness</w:t>
            </w:r>
          </w:p>
        </w:tc>
        <w:tc>
          <w:tcPr>
            <w:tcW w:w="1245" w:type="dxa"/>
            <w:tcBorders>
              <w:top w:val="nil"/>
              <w:left w:val="nil"/>
              <w:bottom w:val="single" w:sz="4" w:space="0" w:color="000000"/>
              <w:right w:val="nil"/>
            </w:tcBorders>
            <w:tcMar>
              <w:top w:w="-123" w:type="dxa"/>
              <w:left w:w="-123" w:type="dxa"/>
              <w:bottom w:w="-123" w:type="dxa"/>
              <w:right w:w="-123" w:type="dxa"/>
            </w:tcMar>
          </w:tcPr>
          <w:p w14:paraId="5F18589F" w14:textId="77777777" w:rsidR="00340A38" w:rsidRDefault="00000000">
            <w:pPr>
              <w:spacing w:after="0" w:line="276" w:lineRule="auto"/>
              <w:jc w:val="center"/>
              <w:rPr>
                <w:sz w:val="18"/>
                <w:szCs w:val="18"/>
              </w:rPr>
            </w:pPr>
            <w:r>
              <w:rPr>
                <w:b/>
                <w:sz w:val="18"/>
                <w:szCs w:val="18"/>
              </w:rPr>
              <w:t>Kurtosis</w:t>
            </w:r>
          </w:p>
        </w:tc>
      </w:tr>
      <w:tr w:rsidR="00340A38" w14:paraId="654C62AA" w14:textId="77777777">
        <w:tc>
          <w:tcPr>
            <w:tcW w:w="1095" w:type="dxa"/>
            <w:tcBorders>
              <w:top w:val="nil"/>
              <w:left w:val="nil"/>
              <w:bottom w:val="nil"/>
              <w:right w:val="nil"/>
            </w:tcBorders>
            <w:tcMar>
              <w:top w:w="-123" w:type="dxa"/>
              <w:left w:w="-123" w:type="dxa"/>
              <w:bottom w:w="-123" w:type="dxa"/>
              <w:right w:w="-123" w:type="dxa"/>
            </w:tcMar>
          </w:tcPr>
          <w:p w14:paraId="37619247" w14:textId="77777777" w:rsidR="00340A38" w:rsidRDefault="00000000">
            <w:pPr>
              <w:spacing w:after="0" w:line="276" w:lineRule="auto"/>
              <w:jc w:val="center"/>
              <w:rPr>
                <w:sz w:val="18"/>
                <w:szCs w:val="18"/>
              </w:rPr>
            </w:pPr>
            <w:r>
              <w:rPr>
                <w:sz w:val="18"/>
                <w:szCs w:val="18"/>
              </w:rPr>
              <w:t>CEO1</w:t>
            </w:r>
          </w:p>
        </w:tc>
        <w:tc>
          <w:tcPr>
            <w:tcW w:w="1260" w:type="dxa"/>
            <w:tcBorders>
              <w:top w:val="nil"/>
              <w:left w:val="nil"/>
              <w:bottom w:val="nil"/>
              <w:right w:val="nil"/>
            </w:tcBorders>
            <w:tcMar>
              <w:top w:w="-123" w:type="dxa"/>
              <w:left w:w="-123" w:type="dxa"/>
              <w:bottom w:w="-123" w:type="dxa"/>
              <w:right w:w="-123" w:type="dxa"/>
            </w:tcMar>
            <w:vAlign w:val="center"/>
          </w:tcPr>
          <w:p w14:paraId="35358011" w14:textId="77777777" w:rsidR="00340A38" w:rsidRDefault="00000000">
            <w:pPr>
              <w:spacing w:after="0" w:line="276" w:lineRule="auto"/>
              <w:jc w:val="center"/>
              <w:rPr>
                <w:sz w:val="18"/>
                <w:szCs w:val="18"/>
              </w:rPr>
            </w:pPr>
            <w:r>
              <w:rPr>
                <w:sz w:val="18"/>
                <w:szCs w:val="18"/>
              </w:rPr>
              <w:t>-1.3108E-05</w:t>
            </w:r>
          </w:p>
        </w:tc>
        <w:tc>
          <w:tcPr>
            <w:tcW w:w="1260" w:type="dxa"/>
            <w:tcBorders>
              <w:top w:val="nil"/>
              <w:left w:val="nil"/>
              <w:bottom w:val="nil"/>
              <w:right w:val="nil"/>
            </w:tcBorders>
            <w:tcMar>
              <w:top w:w="-123" w:type="dxa"/>
              <w:left w:w="-123" w:type="dxa"/>
              <w:bottom w:w="-123" w:type="dxa"/>
              <w:right w:w="-123" w:type="dxa"/>
            </w:tcMar>
            <w:vAlign w:val="center"/>
          </w:tcPr>
          <w:p w14:paraId="607ED095" w14:textId="77777777" w:rsidR="00340A38" w:rsidRDefault="00000000">
            <w:pPr>
              <w:spacing w:after="0" w:line="276" w:lineRule="auto"/>
              <w:jc w:val="center"/>
              <w:rPr>
                <w:sz w:val="18"/>
                <w:szCs w:val="18"/>
              </w:rPr>
            </w:pPr>
            <w:r>
              <w:rPr>
                <w:sz w:val="18"/>
                <w:szCs w:val="18"/>
              </w:rPr>
              <w:t>1.275435606</w:t>
            </w:r>
          </w:p>
        </w:tc>
        <w:tc>
          <w:tcPr>
            <w:tcW w:w="1260" w:type="dxa"/>
            <w:tcBorders>
              <w:top w:val="nil"/>
              <w:left w:val="nil"/>
              <w:bottom w:val="nil"/>
              <w:right w:val="nil"/>
            </w:tcBorders>
            <w:tcMar>
              <w:top w:w="-123" w:type="dxa"/>
              <w:left w:w="-123" w:type="dxa"/>
              <w:bottom w:w="-123" w:type="dxa"/>
              <w:right w:w="-123" w:type="dxa"/>
            </w:tcMar>
            <w:vAlign w:val="center"/>
          </w:tcPr>
          <w:p w14:paraId="7C14DE1C" w14:textId="77777777" w:rsidR="00340A38" w:rsidRDefault="00000000">
            <w:pPr>
              <w:spacing w:after="0" w:line="276" w:lineRule="auto"/>
              <w:jc w:val="center"/>
              <w:rPr>
                <w:sz w:val="18"/>
                <w:szCs w:val="18"/>
              </w:rPr>
            </w:pPr>
            <w:r>
              <w:rPr>
                <w:sz w:val="18"/>
                <w:szCs w:val="18"/>
              </w:rPr>
              <w:t>-3.302431751</w:t>
            </w:r>
          </w:p>
        </w:tc>
        <w:tc>
          <w:tcPr>
            <w:tcW w:w="1245" w:type="dxa"/>
            <w:tcBorders>
              <w:top w:val="nil"/>
              <w:left w:val="nil"/>
              <w:bottom w:val="nil"/>
              <w:right w:val="nil"/>
            </w:tcBorders>
            <w:tcMar>
              <w:top w:w="-123" w:type="dxa"/>
              <w:left w:w="-123" w:type="dxa"/>
              <w:bottom w:w="-123" w:type="dxa"/>
              <w:right w:w="-123" w:type="dxa"/>
            </w:tcMar>
            <w:vAlign w:val="center"/>
          </w:tcPr>
          <w:p w14:paraId="4799CD49" w14:textId="77777777" w:rsidR="00340A38" w:rsidRDefault="00000000">
            <w:pPr>
              <w:spacing w:after="0" w:line="276" w:lineRule="auto"/>
              <w:jc w:val="center"/>
              <w:rPr>
                <w:sz w:val="18"/>
                <w:szCs w:val="18"/>
              </w:rPr>
            </w:pPr>
            <w:r>
              <w:rPr>
                <w:sz w:val="18"/>
                <w:szCs w:val="18"/>
              </w:rPr>
              <w:t>-0.212779798</w:t>
            </w:r>
          </w:p>
        </w:tc>
        <w:tc>
          <w:tcPr>
            <w:tcW w:w="1245" w:type="dxa"/>
            <w:tcBorders>
              <w:top w:val="nil"/>
              <w:left w:val="nil"/>
              <w:bottom w:val="nil"/>
              <w:right w:val="nil"/>
            </w:tcBorders>
            <w:tcMar>
              <w:top w:w="-123" w:type="dxa"/>
              <w:left w:w="-123" w:type="dxa"/>
              <w:bottom w:w="-123" w:type="dxa"/>
              <w:right w:w="-123" w:type="dxa"/>
            </w:tcMar>
            <w:vAlign w:val="center"/>
          </w:tcPr>
          <w:p w14:paraId="72653FC2" w14:textId="77777777" w:rsidR="00340A38" w:rsidRDefault="00000000">
            <w:pPr>
              <w:spacing w:after="0" w:line="276" w:lineRule="auto"/>
              <w:jc w:val="center"/>
              <w:rPr>
                <w:sz w:val="18"/>
                <w:szCs w:val="18"/>
              </w:rPr>
            </w:pPr>
            <w:r>
              <w:rPr>
                <w:sz w:val="18"/>
                <w:szCs w:val="18"/>
              </w:rPr>
              <w:t>3.330343687</w:t>
            </w:r>
          </w:p>
        </w:tc>
        <w:tc>
          <w:tcPr>
            <w:tcW w:w="1245" w:type="dxa"/>
            <w:tcBorders>
              <w:top w:val="nil"/>
              <w:left w:val="nil"/>
              <w:bottom w:val="nil"/>
              <w:right w:val="nil"/>
            </w:tcBorders>
            <w:tcMar>
              <w:top w:w="-123" w:type="dxa"/>
              <w:left w:w="-123" w:type="dxa"/>
              <w:bottom w:w="-123" w:type="dxa"/>
              <w:right w:w="-123" w:type="dxa"/>
            </w:tcMar>
            <w:vAlign w:val="center"/>
          </w:tcPr>
          <w:p w14:paraId="314BF84D" w14:textId="77777777" w:rsidR="00340A38" w:rsidRDefault="00000000">
            <w:pPr>
              <w:spacing w:after="0" w:line="276" w:lineRule="auto"/>
              <w:jc w:val="center"/>
              <w:rPr>
                <w:sz w:val="18"/>
                <w:szCs w:val="18"/>
              </w:rPr>
            </w:pPr>
            <w:r>
              <w:rPr>
                <w:sz w:val="18"/>
                <w:szCs w:val="18"/>
              </w:rPr>
              <w:t>0.519632428</w:t>
            </w:r>
          </w:p>
        </w:tc>
        <w:tc>
          <w:tcPr>
            <w:tcW w:w="1245" w:type="dxa"/>
            <w:tcBorders>
              <w:top w:val="nil"/>
              <w:left w:val="nil"/>
              <w:bottom w:val="nil"/>
              <w:right w:val="nil"/>
            </w:tcBorders>
            <w:tcMar>
              <w:top w:w="-123" w:type="dxa"/>
              <w:left w:w="-123" w:type="dxa"/>
              <w:bottom w:w="-123" w:type="dxa"/>
              <w:right w:w="-123" w:type="dxa"/>
            </w:tcMar>
            <w:vAlign w:val="center"/>
          </w:tcPr>
          <w:p w14:paraId="4A81815B" w14:textId="77777777" w:rsidR="00340A38" w:rsidRDefault="00000000">
            <w:pPr>
              <w:spacing w:after="0" w:line="276" w:lineRule="auto"/>
              <w:jc w:val="center"/>
              <w:rPr>
                <w:sz w:val="18"/>
                <w:szCs w:val="18"/>
              </w:rPr>
            </w:pPr>
            <w:r>
              <w:rPr>
                <w:sz w:val="18"/>
                <w:szCs w:val="18"/>
              </w:rPr>
              <w:t>-0.376044777</w:t>
            </w:r>
          </w:p>
        </w:tc>
      </w:tr>
      <w:tr w:rsidR="00340A38" w14:paraId="5C9D3D9A" w14:textId="77777777">
        <w:tc>
          <w:tcPr>
            <w:tcW w:w="1095" w:type="dxa"/>
            <w:tcBorders>
              <w:top w:val="nil"/>
              <w:left w:val="nil"/>
              <w:bottom w:val="nil"/>
              <w:right w:val="nil"/>
            </w:tcBorders>
            <w:tcMar>
              <w:top w:w="-123" w:type="dxa"/>
              <w:left w:w="-123" w:type="dxa"/>
              <w:bottom w:w="-123" w:type="dxa"/>
              <w:right w:w="-123" w:type="dxa"/>
            </w:tcMar>
          </w:tcPr>
          <w:p w14:paraId="3E71EF19" w14:textId="77777777" w:rsidR="00340A38" w:rsidRDefault="00000000">
            <w:pPr>
              <w:spacing w:after="0" w:line="276" w:lineRule="auto"/>
              <w:jc w:val="center"/>
              <w:rPr>
                <w:sz w:val="18"/>
                <w:szCs w:val="18"/>
              </w:rPr>
            </w:pPr>
            <w:r>
              <w:rPr>
                <w:sz w:val="18"/>
                <w:szCs w:val="18"/>
              </w:rPr>
              <w:t>CEO2</w:t>
            </w:r>
          </w:p>
        </w:tc>
        <w:tc>
          <w:tcPr>
            <w:tcW w:w="1260" w:type="dxa"/>
            <w:tcBorders>
              <w:top w:val="nil"/>
              <w:left w:val="nil"/>
              <w:bottom w:val="nil"/>
              <w:right w:val="nil"/>
            </w:tcBorders>
            <w:tcMar>
              <w:top w:w="-123" w:type="dxa"/>
              <w:left w:w="-123" w:type="dxa"/>
              <w:bottom w:w="-123" w:type="dxa"/>
              <w:right w:w="-123" w:type="dxa"/>
            </w:tcMar>
            <w:vAlign w:val="center"/>
          </w:tcPr>
          <w:p w14:paraId="33EE55AB" w14:textId="77777777" w:rsidR="00340A38" w:rsidRDefault="00000000">
            <w:pPr>
              <w:spacing w:after="0" w:line="276" w:lineRule="auto"/>
              <w:jc w:val="center"/>
              <w:rPr>
                <w:sz w:val="18"/>
                <w:szCs w:val="18"/>
              </w:rPr>
            </w:pPr>
            <w:r>
              <w:rPr>
                <w:sz w:val="18"/>
                <w:szCs w:val="18"/>
              </w:rPr>
              <w:t>-0.0001911</w:t>
            </w:r>
          </w:p>
        </w:tc>
        <w:tc>
          <w:tcPr>
            <w:tcW w:w="1260" w:type="dxa"/>
            <w:tcBorders>
              <w:top w:val="nil"/>
              <w:left w:val="nil"/>
              <w:bottom w:val="nil"/>
              <w:right w:val="nil"/>
            </w:tcBorders>
            <w:tcMar>
              <w:top w:w="-123" w:type="dxa"/>
              <w:left w:w="-123" w:type="dxa"/>
              <w:bottom w:w="-123" w:type="dxa"/>
              <w:right w:w="-123" w:type="dxa"/>
            </w:tcMar>
            <w:vAlign w:val="center"/>
          </w:tcPr>
          <w:p w14:paraId="595954D1" w14:textId="77777777" w:rsidR="00340A38" w:rsidRDefault="00000000">
            <w:pPr>
              <w:spacing w:after="0" w:line="276" w:lineRule="auto"/>
              <w:jc w:val="center"/>
              <w:rPr>
                <w:sz w:val="18"/>
                <w:szCs w:val="18"/>
              </w:rPr>
            </w:pPr>
            <w:r>
              <w:rPr>
                <w:sz w:val="18"/>
                <w:szCs w:val="18"/>
              </w:rPr>
              <w:t>1.01760945</w:t>
            </w:r>
          </w:p>
        </w:tc>
        <w:tc>
          <w:tcPr>
            <w:tcW w:w="1260" w:type="dxa"/>
            <w:tcBorders>
              <w:top w:val="nil"/>
              <w:left w:val="nil"/>
              <w:bottom w:val="nil"/>
              <w:right w:val="nil"/>
            </w:tcBorders>
            <w:tcMar>
              <w:top w:w="-123" w:type="dxa"/>
              <w:left w:w="-123" w:type="dxa"/>
              <w:bottom w:w="-123" w:type="dxa"/>
              <w:right w:w="-123" w:type="dxa"/>
            </w:tcMar>
            <w:vAlign w:val="center"/>
          </w:tcPr>
          <w:p w14:paraId="5317ABA5" w14:textId="77777777" w:rsidR="00340A38" w:rsidRDefault="00000000">
            <w:pPr>
              <w:spacing w:after="0" w:line="276" w:lineRule="auto"/>
              <w:jc w:val="center"/>
              <w:rPr>
                <w:sz w:val="18"/>
                <w:szCs w:val="18"/>
              </w:rPr>
            </w:pPr>
            <w:r>
              <w:rPr>
                <w:sz w:val="18"/>
                <w:szCs w:val="18"/>
              </w:rPr>
              <w:t>-1.7213839</w:t>
            </w:r>
          </w:p>
        </w:tc>
        <w:tc>
          <w:tcPr>
            <w:tcW w:w="1245" w:type="dxa"/>
            <w:tcBorders>
              <w:top w:val="nil"/>
              <w:left w:val="nil"/>
              <w:bottom w:val="nil"/>
              <w:right w:val="nil"/>
            </w:tcBorders>
            <w:tcMar>
              <w:top w:w="-123" w:type="dxa"/>
              <w:left w:w="-123" w:type="dxa"/>
              <w:bottom w:w="-123" w:type="dxa"/>
              <w:right w:w="-123" w:type="dxa"/>
            </w:tcMar>
            <w:vAlign w:val="center"/>
          </w:tcPr>
          <w:p w14:paraId="4E20AAFD" w14:textId="77777777" w:rsidR="00340A38" w:rsidRDefault="00000000">
            <w:pPr>
              <w:spacing w:after="0" w:line="276" w:lineRule="auto"/>
              <w:jc w:val="center"/>
              <w:rPr>
                <w:sz w:val="18"/>
                <w:szCs w:val="18"/>
              </w:rPr>
            </w:pPr>
            <w:r>
              <w:rPr>
                <w:sz w:val="18"/>
                <w:szCs w:val="18"/>
              </w:rPr>
              <w:t>-0.0364331</w:t>
            </w:r>
          </w:p>
        </w:tc>
        <w:tc>
          <w:tcPr>
            <w:tcW w:w="1245" w:type="dxa"/>
            <w:tcBorders>
              <w:top w:val="nil"/>
              <w:left w:val="nil"/>
              <w:bottom w:val="nil"/>
              <w:right w:val="nil"/>
            </w:tcBorders>
            <w:tcMar>
              <w:top w:w="-123" w:type="dxa"/>
              <w:left w:w="-123" w:type="dxa"/>
              <w:bottom w:w="-123" w:type="dxa"/>
              <w:right w:w="-123" w:type="dxa"/>
            </w:tcMar>
            <w:vAlign w:val="center"/>
          </w:tcPr>
          <w:p w14:paraId="564C81C7" w14:textId="77777777" w:rsidR="00340A38" w:rsidRDefault="00000000">
            <w:pPr>
              <w:spacing w:after="0" w:line="276" w:lineRule="auto"/>
              <w:jc w:val="center"/>
              <w:rPr>
                <w:sz w:val="18"/>
                <w:szCs w:val="18"/>
              </w:rPr>
            </w:pPr>
            <w:r>
              <w:rPr>
                <w:sz w:val="18"/>
                <w:szCs w:val="18"/>
              </w:rPr>
              <w:t>3.11873859</w:t>
            </w:r>
          </w:p>
        </w:tc>
        <w:tc>
          <w:tcPr>
            <w:tcW w:w="1245" w:type="dxa"/>
            <w:tcBorders>
              <w:top w:val="nil"/>
              <w:left w:val="nil"/>
              <w:bottom w:val="nil"/>
              <w:right w:val="nil"/>
            </w:tcBorders>
            <w:tcMar>
              <w:top w:w="-123" w:type="dxa"/>
              <w:left w:w="-123" w:type="dxa"/>
              <w:bottom w:w="-123" w:type="dxa"/>
              <w:right w:w="-123" w:type="dxa"/>
            </w:tcMar>
            <w:vAlign w:val="center"/>
          </w:tcPr>
          <w:p w14:paraId="501B8F47" w14:textId="77777777" w:rsidR="00340A38" w:rsidRDefault="00000000">
            <w:pPr>
              <w:spacing w:after="0" w:line="276" w:lineRule="auto"/>
              <w:jc w:val="center"/>
              <w:rPr>
                <w:sz w:val="18"/>
                <w:szCs w:val="18"/>
              </w:rPr>
            </w:pPr>
            <w:r>
              <w:rPr>
                <w:sz w:val="18"/>
                <w:szCs w:val="18"/>
              </w:rPr>
              <w:t>0.20372721</w:t>
            </w:r>
          </w:p>
        </w:tc>
        <w:tc>
          <w:tcPr>
            <w:tcW w:w="1245" w:type="dxa"/>
            <w:tcBorders>
              <w:top w:val="nil"/>
              <w:left w:val="nil"/>
              <w:bottom w:val="nil"/>
              <w:right w:val="nil"/>
            </w:tcBorders>
            <w:tcMar>
              <w:top w:w="-123" w:type="dxa"/>
              <w:left w:w="-123" w:type="dxa"/>
              <w:bottom w:w="-123" w:type="dxa"/>
              <w:right w:w="-123" w:type="dxa"/>
            </w:tcMar>
            <w:vAlign w:val="center"/>
          </w:tcPr>
          <w:p w14:paraId="4C54646B" w14:textId="77777777" w:rsidR="00340A38" w:rsidRDefault="00000000">
            <w:pPr>
              <w:spacing w:after="0" w:line="276" w:lineRule="auto"/>
              <w:jc w:val="center"/>
              <w:rPr>
                <w:sz w:val="18"/>
                <w:szCs w:val="18"/>
              </w:rPr>
            </w:pPr>
            <w:r>
              <w:rPr>
                <w:sz w:val="18"/>
                <w:szCs w:val="18"/>
              </w:rPr>
              <w:t>-0.8154004</w:t>
            </w:r>
          </w:p>
        </w:tc>
      </w:tr>
      <w:tr w:rsidR="00340A38" w14:paraId="78F4012B" w14:textId="77777777">
        <w:tc>
          <w:tcPr>
            <w:tcW w:w="1095" w:type="dxa"/>
            <w:tcBorders>
              <w:top w:val="nil"/>
              <w:left w:val="nil"/>
              <w:bottom w:val="single" w:sz="4" w:space="0" w:color="000000"/>
              <w:right w:val="nil"/>
            </w:tcBorders>
            <w:tcMar>
              <w:top w:w="-123" w:type="dxa"/>
              <w:left w:w="-123" w:type="dxa"/>
              <w:bottom w:w="-123" w:type="dxa"/>
              <w:right w:w="-123" w:type="dxa"/>
            </w:tcMar>
          </w:tcPr>
          <w:p w14:paraId="175129E5" w14:textId="77777777" w:rsidR="00340A38" w:rsidRDefault="00000000">
            <w:pPr>
              <w:spacing w:after="0" w:line="276" w:lineRule="auto"/>
              <w:jc w:val="center"/>
              <w:rPr>
                <w:sz w:val="18"/>
                <w:szCs w:val="18"/>
              </w:rPr>
            </w:pPr>
            <w:r>
              <w:rPr>
                <w:sz w:val="18"/>
                <w:szCs w:val="18"/>
              </w:rPr>
              <w:t>BOD1</w:t>
            </w:r>
          </w:p>
        </w:tc>
        <w:tc>
          <w:tcPr>
            <w:tcW w:w="1260" w:type="dxa"/>
            <w:tcBorders>
              <w:top w:val="nil"/>
              <w:left w:val="nil"/>
              <w:bottom w:val="single" w:sz="4" w:space="0" w:color="000000"/>
              <w:right w:val="nil"/>
            </w:tcBorders>
            <w:tcMar>
              <w:top w:w="-123" w:type="dxa"/>
              <w:left w:w="-123" w:type="dxa"/>
              <w:bottom w:w="-123" w:type="dxa"/>
              <w:right w:w="-123" w:type="dxa"/>
            </w:tcMar>
            <w:vAlign w:val="center"/>
          </w:tcPr>
          <w:p w14:paraId="1FC0EDB7" w14:textId="77777777" w:rsidR="00340A38" w:rsidRDefault="00000000">
            <w:pPr>
              <w:spacing w:after="0" w:line="276" w:lineRule="auto"/>
              <w:jc w:val="center"/>
              <w:rPr>
                <w:sz w:val="18"/>
                <w:szCs w:val="18"/>
              </w:rPr>
            </w:pPr>
            <w:r>
              <w:rPr>
                <w:sz w:val="18"/>
                <w:szCs w:val="18"/>
              </w:rPr>
              <w:t>0.00040413</w:t>
            </w:r>
          </w:p>
        </w:tc>
        <w:tc>
          <w:tcPr>
            <w:tcW w:w="1260" w:type="dxa"/>
            <w:tcBorders>
              <w:top w:val="nil"/>
              <w:left w:val="nil"/>
              <w:bottom w:val="single" w:sz="4" w:space="0" w:color="000000"/>
              <w:right w:val="nil"/>
            </w:tcBorders>
            <w:tcMar>
              <w:top w:w="-123" w:type="dxa"/>
              <w:left w:w="-123" w:type="dxa"/>
              <w:bottom w:w="-123" w:type="dxa"/>
              <w:right w:w="-123" w:type="dxa"/>
            </w:tcMar>
            <w:vAlign w:val="center"/>
          </w:tcPr>
          <w:p w14:paraId="476C4FCF" w14:textId="77777777" w:rsidR="00340A38" w:rsidRDefault="00000000">
            <w:pPr>
              <w:spacing w:after="0" w:line="276" w:lineRule="auto"/>
              <w:jc w:val="center"/>
              <w:rPr>
                <w:sz w:val="18"/>
                <w:szCs w:val="18"/>
              </w:rPr>
            </w:pPr>
            <w:r>
              <w:rPr>
                <w:sz w:val="18"/>
                <w:szCs w:val="18"/>
              </w:rPr>
              <w:t>0.99956119</w:t>
            </w:r>
          </w:p>
        </w:tc>
        <w:tc>
          <w:tcPr>
            <w:tcW w:w="1260" w:type="dxa"/>
            <w:tcBorders>
              <w:top w:val="nil"/>
              <w:left w:val="nil"/>
              <w:bottom w:val="single" w:sz="4" w:space="0" w:color="000000"/>
              <w:right w:val="nil"/>
            </w:tcBorders>
            <w:tcMar>
              <w:top w:w="-123" w:type="dxa"/>
              <w:left w:w="-123" w:type="dxa"/>
              <w:bottom w:w="-123" w:type="dxa"/>
              <w:right w:w="-123" w:type="dxa"/>
            </w:tcMar>
            <w:vAlign w:val="center"/>
          </w:tcPr>
          <w:p w14:paraId="213E993C" w14:textId="77777777" w:rsidR="00340A38" w:rsidRDefault="00000000">
            <w:pPr>
              <w:spacing w:after="0" w:line="276" w:lineRule="auto"/>
              <w:jc w:val="center"/>
              <w:rPr>
                <w:sz w:val="18"/>
                <w:szCs w:val="18"/>
              </w:rPr>
            </w:pPr>
            <w:r>
              <w:rPr>
                <w:sz w:val="18"/>
                <w:szCs w:val="18"/>
              </w:rPr>
              <w:t>-5.2677888</w:t>
            </w:r>
          </w:p>
        </w:tc>
        <w:tc>
          <w:tcPr>
            <w:tcW w:w="1245" w:type="dxa"/>
            <w:tcBorders>
              <w:top w:val="nil"/>
              <w:left w:val="nil"/>
              <w:bottom w:val="single" w:sz="4" w:space="0" w:color="000000"/>
              <w:right w:val="nil"/>
            </w:tcBorders>
            <w:tcMar>
              <w:top w:w="-123" w:type="dxa"/>
              <w:left w:w="-123" w:type="dxa"/>
              <w:bottom w:w="-123" w:type="dxa"/>
              <w:right w:w="-123" w:type="dxa"/>
            </w:tcMar>
            <w:vAlign w:val="center"/>
          </w:tcPr>
          <w:p w14:paraId="79894EE3" w14:textId="77777777" w:rsidR="00340A38" w:rsidRDefault="00000000">
            <w:pPr>
              <w:spacing w:after="0" w:line="276" w:lineRule="auto"/>
              <w:jc w:val="center"/>
              <w:rPr>
                <w:sz w:val="18"/>
                <w:szCs w:val="18"/>
              </w:rPr>
            </w:pPr>
            <w:r>
              <w:rPr>
                <w:sz w:val="18"/>
                <w:szCs w:val="18"/>
              </w:rPr>
              <w:t>-0.1070861</w:t>
            </w:r>
          </w:p>
        </w:tc>
        <w:tc>
          <w:tcPr>
            <w:tcW w:w="1245" w:type="dxa"/>
            <w:tcBorders>
              <w:top w:val="nil"/>
              <w:left w:val="nil"/>
              <w:bottom w:val="single" w:sz="4" w:space="0" w:color="000000"/>
              <w:right w:val="nil"/>
            </w:tcBorders>
            <w:tcMar>
              <w:top w:w="-123" w:type="dxa"/>
              <w:left w:w="-123" w:type="dxa"/>
              <w:bottom w:w="-123" w:type="dxa"/>
              <w:right w:w="-123" w:type="dxa"/>
            </w:tcMar>
            <w:vAlign w:val="center"/>
          </w:tcPr>
          <w:p w14:paraId="23A44E3B" w14:textId="77777777" w:rsidR="00340A38" w:rsidRDefault="00000000">
            <w:pPr>
              <w:spacing w:after="0" w:line="276" w:lineRule="auto"/>
              <w:jc w:val="center"/>
              <w:rPr>
                <w:sz w:val="18"/>
                <w:szCs w:val="18"/>
              </w:rPr>
            </w:pPr>
            <w:r>
              <w:rPr>
                <w:sz w:val="18"/>
                <w:szCs w:val="18"/>
              </w:rPr>
              <w:t>5.07872848</w:t>
            </w:r>
          </w:p>
        </w:tc>
        <w:tc>
          <w:tcPr>
            <w:tcW w:w="1245" w:type="dxa"/>
            <w:tcBorders>
              <w:top w:val="nil"/>
              <w:left w:val="nil"/>
              <w:bottom w:val="single" w:sz="4" w:space="0" w:color="000000"/>
              <w:right w:val="nil"/>
            </w:tcBorders>
            <w:tcMar>
              <w:top w:w="-123" w:type="dxa"/>
              <w:left w:w="-123" w:type="dxa"/>
              <w:bottom w:w="-123" w:type="dxa"/>
              <w:right w:w="-123" w:type="dxa"/>
            </w:tcMar>
            <w:vAlign w:val="center"/>
          </w:tcPr>
          <w:p w14:paraId="7159F955" w14:textId="77777777" w:rsidR="00340A38" w:rsidRDefault="00000000">
            <w:pPr>
              <w:spacing w:after="0" w:line="276" w:lineRule="auto"/>
              <w:jc w:val="center"/>
              <w:rPr>
                <w:sz w:val="18"/>
                <w:szCs w:val="18"/>
              </w:rPr>
            </w:pPr>
            <w:r>
              <w:rPr>
                <w:sz w:val="18"/>
                <w:szCs w:val="18"/>
              </w:rPr>
              <w:t>-0.8759112</w:t>
            </w:r>
          </w:p>
        </w:tc>
        <w:tc>
          <w:tcPr>
            <w:tcW w:w="1245" w:type="dxa"/>
            <w:tcBorders>
              <w:top w:val="nil"/>
              <w:left w:val="nil"/>
              <w:bottom w:val="single" w:sz="4" w:space="0" w:color="000000"/>
              <w:right w:val="nil"/>
            </w:tcBorders>
            <w:tcMar>
              <w:top w:w="-123" w:type="dxa"/>
              <w:left w:w="-123" w:type="dxa"/>
              <w:bottom w:w="-123" w:type="dxa"/>
              <w:right w:w="-123" w:type="dxa"/>
            </w:tcMar>
            <w:vAlign w:val="center"/>
          </w:tcPr>
          <w:p w14:paraId="23BF3228" w14:textId="77777777" w:rsidR="00340A38" w:rsidRDefault="00000000">
            <w:pPr>
              <w:spacing w:after="0" w:line="276" w:lineRule="auto"/>
              <w:jc w:val="center"/>
              <w:rPr>
                <w:sz w:val="18"/>
                <w:szCs w:val="18"/>
              </w:rPr>
            </w:pPr>
            <w:r>
              <w:rPr>
                <w:sz w:val="18"/>
                <w:szCs w:val="18"/>
              </w:rPr>
              <w:t>2.85971733</w:t>
            </w:r>
          </w:p>
        </w:tc>
      </w:tr>
    </w:tbl>
    <w:p w14:paraId="43DDCA41" w14:textId="77777777" w:rsidR="00340A38" w:rsidRDefault="00340A38">
      <w:pPr>
        <w:spacing w:after="0"/>
      </w:pPr>
    </w:p>
    <w:p w14:paraId="2EA4EE37" w14:textId="77777777" w:rsidR="00340A38" w:rsidRDefault="00000000">
      <w:pPr>
        <w:pStyle w:val="Heading2"/>
        <w:spacing w:line="480" w:lineRule="auto"/>
      </w:pPr>
      <w:bookmarkStart w:id="24" w:name="_obbijkcfvgmc" w:colFirst="0" w:colLast="0"/>
      <w:bookmarkEnd w:id="24"/>
      <w:r>
        <w:t>4.5 Empirical Model and Estimation Method</w:t>
      </w:r>
    </w:p>
    <w:p w14:paraId="08537C37" w14:textId="77777777" w:rsidR="00340A38" w:rsidRDefault="00000000">
      <w:pPr>
        <w:pStyle w:val="Heading3"/>
        <w:spacing w:line="480" w:lineRule="auto"/>
      </w:pPr>
      <w:bookmarkStart w:id="25" w:name="_rn3e816r047h" w:colFirst="0" w:colLast="0"/>
      <w:bookmarkEnd w:id="25"/>
      <w:r>
        <w:t>4.5.1 Empirical Model</w:t>
      </w:r>
    </w:p>
    <w:p w14:paraId="05D1015B" w14:textId="77777777" w:rsidR="00340A38" w:rsidRDefault="00000000">
      <w:pPr>
        <w:spacing w:line="480" w:lineRule="auto"/>
        <w:jc w:val="both"/>
      </w:pPr>
      <w:r>
        <w:t>To investigate the relationship between CEO power, BOD power, Institutional Investor power, and firm capital structure, we develop the following empirical model:</w:t>
      </w:r>
    </w:p>
    <w:p w14:paraId="3E2DBC74" w14:textId="77777777" w:rsidR="00340A38" w:rsidRDefault="00000000">
      <w:pPr>
        <w:spacing w:line="480" w:lineRule="auto"/>
      </w:pPr>
      <w:hyperlink r:id="rId15" w:anchor="0">
        <w:r>
          <w:rPr>
            <w:noProof/>
          </w:rPr>
          <w:drawing>
            <wp:inline distT="19050" distB="19050" distL="19050" distR="19050" wp14:anchorId="557BBC35" wp14:editId="06F01287">
              <wp:extent cx="4395788" cy="702701"/>
              <wp:effectExtent l="0" t="0" r="0" b="0"/>
              <wp:docPr id="9" name="image17.gif"/>
              <wp:cNvGraphicFramePr/>
              <a:graphic xmlns:a="http://schemas.openxmlformats.org/drawingml/2006/main">
                <a:graphicData uri="http://schemas.openxmlformats.org/drawingml/2006/picture">
                  <pic:pic xmlns:pic="http://schemas.openxmlformats.org/drawingml/2006/picture">
                    <pic:nvPicPr>
                      <pic:cNvPr id="0" name="image17.gif"/>
                      <pic:cNvPicPr preferRelativeResize="0"/>
                    </pic:nvPicPr>
                    <pic:blipFill>
                      <a:blip r:embed="rId16"/>
                      <a:srcRect/>
                      <a:stretch>
                        <a:fillRect/>
                      </a:stretch>
                    </pic:blipFill>
                    <pic:spPr>
                      <a:xfrm>
                        <a:off x="0" y="0"/>
                        <a:ext cx="4395788" cy="702701"/>
                      </a:xfrm>
                      <a:prstGeom prst="rect">
                        <a:avLst/>
                      </a:prstGeom>
                      <a:ln/>
                    </pic:spPr>
                  </pic:pic>
                </a:graphicData>
              </a:graphic>
            </wp:inline>
          </w:drawing>
        </w:r>
      </w:hyperlink>
      <w:r>
        <w:t xml:space="preserve">                           </w:t>
      </w:r>
      <w:hyperlink r:id="rId17" w:anchor="0">
        <w:r>
          <w:rPr>
            <w:noProof/>
          </w:rPr>
          <w:drawing>
            <wp:inline distT="19050" distB="19050" distL="19050" distR="19050" wp14:anchorId="43036D48" wp14:editId="75842B62">
              <wp:extent cx="152400" cy="15240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152400" cy="152400"/>
                      </a:xfrm>
                      <a:prstGeom prst="rect">
                        <a:avLst/>
                      </a:prstGeom>
                      <a:ln/>
                    </pic:spPr>
                  </pic:pic>
                </a:graphicData>
              </a:graphic>
            </wp:inline>
          </w:drawing>
        </w:r>
      </w:hyperlink>
    </w:p>
    <w:p w14:paraId="7BA3710C" w14:textId="77777777" w:rsidR="00340A38" w:rsidRDefault="00000000">
      <w:pPr>
        <w:spacing w:line="480" w:lineRule="auto"/>
        <w:jc w:val="both"/>
      </w:pPr>
      <w:r>
        <w:t xml:space="preserve">where subscripts </w:t>
      </w:r>
      <w:hyperlink r:id="rId19" w:anchor="0">
        <w:r>
          <w:rPr>
            <w:noProof/>
          </w:rPr>
          <w:drawing>
            <wp:inline distT="19050" distB="19050" distL="19050" distR="19050" wp14:anchorId="6A8152B3" wp14:editId="7E4E7FDB">
              <wp:extent cx="38100" cy="101600"/>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38100" cy="101600"/>
                      </a:xfrm>
                      <a:prstGeom prst="rect">
                        <a:avLst/>
                      </a:prstGeom>
                      <a:ln/>
                    </pic:spPr>
                  </pic:pic>
                </a:graphicData>
              </a:graphic>
            </wp:inline>
          </w:drawing>
        </w:r>
      </w:hyperlink>
      <w:r>
        <w:t xml:space="preserve"> and </w:t>
      </w:r>
      <w:hyperlink r:id="rId21" w:anchor="0">
        <w:r>
          <w:rPr>
            <w:noProof/>
          </w:rPr>
          <w:drawing>
            <wp:inline distT="19050" distB="19050" distL="19050" distR="19050" wp14:anchorId="248BE4CE" wp14:editId="25D56A0F">
              <wp:extent cx="38100" cy="889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38100" cy="88900"/>
                      </a:xfrm>
                      <a:prstGeom prst="rect">
                        <a:avLst/>
                      </a:prstGeom>
                      <a:ln/>
                    </pic:spPr>
                  </pic:pic>
                </a:graphicData>
              </a:graphic>
            </wp:inline>
          </w:drawing>
        </w:r>
      </w:hyperlink>
      <w:r>
        <w:t xml:space="preserve"> denote firm (</w:t>
      </w:r>
      <w:hyperlink r:id="rId23" w:anchor="0">
        <w:r>
          <w:rPr>
            <w:noProof/>
          </w:rPr>
          <w:drawing>
            <wp:inline distT="19050" distB="19050" distL="19050" distR="19050" wp14:anchorId="07529646" wp14:editId="065BA039">
              <wp:extent cx="38100" cy="101600"/>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38100" cy="101600"/>
                      </a:xfrm>
                      <a:prstGeom prst="rect">
                        <a:avLst/>
                      </a:prstGeom>
                      <a:ln/>
                    </pic:spPr>
                  </pic:pic>
                </a:graphicData>
              </a:graphic>
            </wp:inline>
          </w:drawing>
        </w:r>
      </w:hyperlink>
      <w:r>
        <w:t xml:space="preserve"> = 1,2, …, 618) and time (</w:t>
      </w:r>
      <w:hyperlink r:id="rId24" w:anchor="0">
        <w:r>
          <w:rPr>
            <w:noProof/>
          </w:rPr>
          <w:drawing>
            <wp:inline distT="19050" distB="19050" distL="19050" distR="19050" wp14:anchorId="041E654E" wp14:editId="1D211676">
              <wp:extent cx="38100" cy="889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38100" cy="88900"/>
                      </a:xfrm>
                      <a:prstGeom prst="rect">
                        <a:avLst/>
                      </a:prstGeom>
                      <a:ln/>
                    </pic:spPr>
                  </pic:pic>
                </a:graphicData>
              </a:graphic>
            </wp:inline>
          </w:drawing>
        </w:r>
      </w:hyperlink>
      <w:r>
        <w:t xml:space="preserve"> = 2011,2012, …, 2022), respectively. </w:t>
      </w:r>
      <w:hyperlink r:id="rId25" w:anchor="0">
        <w:r>
          <w:rPr>
            <w:noProof/>
          </w:rPr>
          <w:drawing>
            <wp:inline distT="19050" distB="19050" distL="19050" distR="19050" wp14:anchorId="19677E64" wp14:editId="32688DC8">
              <wp:extent cx="76200" cy="139700"/>
              <wp:effectExtent l="0" t="0" r="0" b="0"/>
              <wp:docPr id="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6"/>
                      <a:srcRect/>
                      <a:stretch>
                        <a:fillRect/>
                      </a:stretch>
                    </pic:blipFill>
                    <pic:spPr>
                      <a:xfrm>
                        <a:off x="0" y="0"/>
                        <a:ext cx="76200" cy="139700"/>
                      </a:xfrm>
                      <a:prstGeom prst="rect">
                        <a:avLst/>
                      </a:prstGeom>
                      <a:ln/>
                    </pic:spPr>
                  </pic:pic>
                </a:graphicData>
              </a:graphic>
            </wp:inline>
          </w:drawing>
        </w:r>
      </w:hyperlink>
      <w:r>
        <w:t xml:space="preserve">, </w:t>
      </w:r>
      <w:hyperlink r:id="rId27" w:anchor="0">
        <w:r>
          <w:rPr>
            <w:noProof/>
          </w:rPr>
          <w:drawing>
            <wp:inline distT="19050" distB="19050" distL="19050" distR="19050" wp14:anchorId="7014081F" wp14:editId="4B887EA1">
              <wp:extent cx="76200" cy="139700"/>
              <wp:effectExtent l="0" t="0" r="0" b="0"/>
              <wp:docPr id="2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8"/>
                      <a:srcRect/>
                      <a:stretch>
                        <a:fillRect/>
                      </a:stretch>
                    </pic:blipFill>
                    <pic:spPr>
                      <a:xfrm>
                        <a:off x="0" y="0"/>
                        <a:ext cx="76200" cy="139700"/>
                      </a:xfrm>
                      <a:prstGeom prst="rect">
                        <a:avLst/>
                      </a:prstGeom>
                      <a:ln/>
                    </pic:spPr>
                  </pic:pic>
                </a:graphicData>
              </a:graphic>
            </wp:inline>
          </w:drawing>
        </w:r>
      </w:hyperlink>
      <w:r>
        <w:t xml:space="preserve">, </w:t>
      </w:r>
      <w:hyperlink r:id="rId29" w:anchor="0">
        <w:r>
          <w:rPr>
            <w:noProof/>
          </w:rPr>
          <w:drawing>
            <wp:inline distT="19050" distB="19050" distL="19050" distR="19050" wp14:anchorId="4E6EB995" wp14:editId="08D273D5">
              <wp:extent cx="76200" cy="10160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0"/>
                      <a:srcRect/>
                      <a:stretch>
                        <a:fillRect/>
                      </a:stretch>
                    </pic:blipFill>
                    <pic:spPr>
                      <a:xfrm>
                        <a:off x="0" y="0"/>
                        <a:ext cx="76200" cy="101600"/>
                      </a:xfrm>
                      <a:prstGeom prst="rect">
                        <a:avLst/>
                      </a:prstGeom>
                      <a:ln/>
                    </pic:spPr>
                  </pic:pic>
                </a:graphicData>
              </a:graphic>
            </wp:inline>
          </w:drawing>
        </w:r>
      </w:hyperlink>
      <w:r>
        <w:t xml:space="preserve">, </w:t>
      </w:r>
      <w:hyperlink r:id="rId31" w:anchor="0">
        <w:r>
          <w:rPr>
            <w:noProof/>
          </w:rPr>
          <w:drawing>
            <wp:inline distT="19050" distB="19050" distL="19050" distR="19050" wp14:anchorId="0CB258AC" wp14:editId="31006AFE">
              <wp:extent cx="63500" cy="114300"/>
              <wp:effectExtent l="0" t="0" r="0" b="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2"/>
                      <a:srcRect/>
                      <a:stretch>
                        <a:fillRect/>
                      </a:stretch>
                    </pic:blipFill>
                    <pic:spPr>
                      <a:xfrm>
                        <a:off x="0" y="0"/>
                        <a:ext cx="63500" cy="114300"/>
                      </a:xfrm>
                      <a:prstGeom prst="rect">
                        <a:avLst/>
                      </a:prstGeom>
                      <a:ln/>
                    </pic:spPr>
                  </pic:pic>
                </a:graphicData>
              </a:graphic>
            </wp:inline>
          </w:drawing>
        </w:r>
      </w:hyperlink>
      <w:r>
        <w:t xml:space="preserve">, and </w:t>
      </w:r>
      <w:hyperlink r:id="rId33" w:anchor="0">
        <w:r>
          <w:rPr>
            <w:noProof/>
          </w:rPr>
          <w:drawing>
            <wp:inline distT="19050" distB="19050" distL="19050" distR="19050" wp14:anchorId="78156810" wp14:editId="68462D30">
              <wp:extent cx="76200" cy="101600"/>
              <wp:effectExtent l="0" t="0" r="0" b="0"/>
              <wp:docPr id="1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4"/>
                      <a:srcRect/>
                      <a:stretch>
                        <a:fillRect/>
                      </a:stretch>
                    </pic:blipFill>
                    <pic:spPr>
                      <a:xfrm>
                        <a:off x="0" y="0"/>
                        <a:ext cx="76200" cy="101600"/>
                      </a:xfrm>
                      <a:prstGeom prst="rect">
                        <a:avLst/>
                      </a:prstGeom>
                      <a:ln/>
                    </pic:spPr>
                  </pic:pic>
                </a:graphicData>
              </a:graphic>
            </wp:inline>
          </w:drawing>
        </w:r>
      </w:hyperlink>
      <w:r>
        <w:t xml:space="preserve"> are the parameters to be estimated. </w:t>
      </w:r>
      <w:hyperlink r:id="rId35" w:anchor="0">
        <w:r>
          <w:rPr>
            <w:noProof/>
          </w:rPr>
          <w:drawing>
            <wp:inline distT="19050" distB="19050" distL="19050" distR="19050" wp14:anchorId="6740828C" wp14:editId="30DD1538">
              <wp:extent cx="127000" cy="76200"/>
              <wp:effectExtent l="0" t="0" r="0" b="0"/>
              <wp:docPr id="1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6"/>
                      <a:srcRect/>
                      <a:stretch>
                        <a:fillRect/>
                      </a:stretch>
                    </pic:blipFill>
                    <pic:spPr>
                      <a:xfrm>
                        <a:off x="0" y="0"/>
                        <a:ext cx="127000" cy="76200"/>
                      </a:xfrm>
                      <a:prstGeom prst="rect">
                        <a:avLst/>
                      </a:prstGeom>
                      <a:ln/>
                    </pic:spPr>
                  </pic:pic>
                </a:graphicData>
              </a:graphic>
            </wp:inline>
          </w:drawing>
        </w:r>
      </w:hyperlink>
      <w:r>
        <w:t xml:space="preserve"> is the idiosyncratic error term which is used to capture all the other unobserved effects. The definitions of all the variables are summarized above. </w:t>
      </w:r>
    </w:p>
    <w:p w14:paraId="4834E16E" w14:textId="77777777" w:rsidR="00340A38" w:rsidRDefault="00000000">
      <w:pPr>
        <w:pStyle w:val="Heading3"/>
        <w:spacing w:line="480" w:lineRule="auto"/>
      </w:pPr>
      <w:bookmarkStart w:id="26" w:name="_1w0uzy47a1dn" w:colFirst="0" w:colLast="0"/>
      <w:bookmarkEnd w:id="26"/>
      <w:r>
        <w:t>4.5.2 Estimation Method</w:t>
      </w:r>
    </w:p>
    <w:p w14:paraId="2FB90D68" w14:textId="77777777" w:rsidR="00340A38" w:rsidRDefault="00000000">
      <w:pPr>
        <w:spacing w:line="480" w:lineRule="auto"/>
        <w:jc w:val="both"/>
      </w:pPr>
      <w:r>
        <w:t xml:space="preserve">Our initial step is to employ a pooled OLS methodology, which is typically utilized in cross-sectional regression analyses. However, this method may overlook the unobservable heterogeneity and endogeneity, thus leading to biased estimates of the relationship. Given that the final sample comprises panel data, we also need to adopt estimation methods specifically designed for panel data utilization. Fixed effects (FE) estimation is introduced to mitigate the issue of unobserved time-specific and firm-specific traits. Yet, though we have a relatively </w:t>
      </w:r>
      <w:proofErr w:type="gramStart"/>
      <w:r>
        <w:t>long time</w:t>
      </w:r>
      <w:proofErr w:type="gramEnd"/>
      <w:r>
        <w:t xml:space="preserve"> span (12 years in </w:t>
      </w:r>
      <w:r>
        <w:lastRenderedPageBreak/>
        <w:t xml:space="preserve">this case), as we have a large number of firms (618 firms), FE estimation would consume degrees of freedom and may produce unreliable outcomes, as noted by </w:t>
      </w:r>
      <w:proofErr w:type="spellStart"/>
      <w:r>
        <w:t>Baltagi</w:t>
      </w:r>
      <w:proofErr w:type="spellEnd"/>
      <w:r>
        <w:t xml:space="preserve"> (2005). Consequently, our study also incorporates Random Effects (RE) estimation as an alternative approach to FE estimation. It includes the year, industry-specific, and IS_SOE dummies in the regression models. </w:t>
      </w:r>
      <w:proofErr w:type="gramStart"/>
      <w:r>
        <w:t>Following Petersen (2009), it's</w:t>
      </w:r>
      <w:proofErr w:type="gramEnd"/>
      <w:r>
        <w:t xml:space="preserve"> recommended that all regressions be calculated with robust standard errors, clustered by firm, to address potential serial correlation and heteroscedasticity in the dataset.</w:t>
      </w:r>
    </w:p>
    <w:p w14:paraId="69441D74" w14:textId="77777777" w:rsidR="00340A38" w:rsidRDefault="00000000">
      <w:pPr>
        <w:pStyle w:val="Heading1"/>
        <w:spacing w:line="480" w:lineRule="auto"/>
        <w:ind w:left="0" w:firstLine="0"/>
      </w:pPr>
      <w:bookmarkStart w:id="27" w:name="_2fa0ni6grsgv" w:colFirst="0" w:colLast="0"/>
      <w:bookmarkEnd w:id="27"/>
      <w:r>
        <w:t>5. Results &amp; Discussion</w:t>
      </w:r>
    </w:p>
    <w:p w14:paraId="752AE0B3" w14:textId="77777777" w:rsidR="00340A38" w:rsidRDefault="00000000">
      <w:pPr>
        <w:pStyle w:val="Heading2"/>
        <w:spacing w:line="480" w:lineRule="auto"/>
      </w:pPr>
      <w:bookmarkStart w:id="28" w:name="_4ej5i9myw490" w:colFirst="0" w:colLast="0"/>
      <w:bookmarkEnd w:id="28"/>
      <w:r>
        <w:t>5.1 Baseline regression results</w:t>
      </w:r>
    </w:p>
    <w:p w14:paraId="08FB3302" w14:textId="77777777" w:rsidR="00340A38" w:rsidRDefault="00000000">
      <w:pPr>
        <w:spacing w:line="480" w:lineRule="auto"/>
        <w:jc w:val="both"/>
      </w:pPr>
      <w:r>
        <w:t xml:space="preserve">After constructing the power index that we want, in this section, we examine the results from our regression. Three models are applied based on our </w:t>
      </w:r>
      <w:proofErr w:type="gramStart"/>
      <w:r>
        <w:t>Eq.(</w:t>
      </w:r>
      <w:proofErr w:type="gramEnd"/>
      <w:r>
        <w:t xml:space="preserve">1) in our study to investigate the relationship between CEO power, BOD power, Institutional Investor power, and leverage ratio, which are: </w:t>
      </w:r>
    </w:p>
    <w:p w14:paraId="27E0907F" w14:textId="77777777" w:rsidR="00340A38" w:rsidRDefault="00000000">
      <w:pPr>
        <w:numPr>
          <w:ilvl w:val="0"/>
          <w:numId w:val="1"/>
        </w:numPr>
        <w:spacing w:after="0" w:line="480" w:lineRule="auto"/>
        <w:jc w:val="both"/>
      </w:pPr>
      <w:r>
        <w:t xml:space="preserve">An OLS </w:t>
      </w:r>
      <w:proofErr w:type="gramStart"/>
      <w:r>
        <w:t>model</w:t>
      </w:r>
      <w:proofErr w:type="gramEnd"/>
    </w:p>
    <w:p w14:paraId="6D141786" w14:textId="77777777" w:rsidR="00340A38" w:rsidRDefault="00000000">
      <w:pPr>
        <w:numPr>
          <w:ilvl w:val="0"/>
          <w:numId w:val="1"/>
        </w:numPr>
        <w:spacing w:after="0" w:line="480" w:lineRule="auto"/>
        <w:jc w:val="both"/>
      </w:pPr>
      <w:r>
        <w:t>A fix-effects model</w:t>
      </w:r>
    </w:p>
    <w:p w14:paraId="36D76325" w14:textId="77777777" w:rsidR="00340A38" w:rsidRDefault="00000000">
      <w:pPr>
        <w:numPr>
          <w:ilvl w:val="0"/>
          <w:numId w:val="1"/>
        </w:numPr>
        <w:spacing w:line="480" w:lineRule="auto"/>
        <w:jc w:val="both"/>
      </w:pPr>
      <w:r>
        <w:t>A random-effects model</w:t>
      </w:r>
    </w:p>
    <w:p w14:paraId="000358D7" w14:textId="77777777" w:rsidR="00340A38" w:rsidRDefault="00000000">
      <w:pPr>
        <w:spacing w:line="480" w:lineRule="auto"/>
        <w:jc w:val="both"/>
        <w:rPr>
          <w:highlight w:val="yellow"/>
        </w:rPr>
      </w:pPr>
      <w:r>
        <w:t xml:space="preserve">As we can see from Table 4, three regression specifications illustrate that CEO power is a statistically significant variable, with negative coefficients of 0.006 under OLS and around 0,004 when we control the time and individual effects under the fix-effects model and the random-effects model. This result reveals that the influence of CEOs matters during the capital structure choice process. Based on our previous PCA, this result indicates that the educational level of the CEO </w:t>
      </w:r>
      <w:r>
        <w:lastRenderedPageBreak/>
        <w:t>(CDEG) has a relatively large effect on the leverage ratio. The higher the degree that the CEO obtained, the lower the CEO would adjust the leverage ratio. This could be supported by some prior research studying the relationship between CEOs’ educational levels with their management styles. CEOs with higher educational levels might exhibit a higher degree of risk aversion and may possess stronger capabilities in strategic planning and setting long-term goals, so they may be more cautious in utilizing the leverage and prefer more conservative strategies (King et al., 2016). Besides, another reason why they favor financing by equity lies in their signaling effect, as they are perceived as more capable and trustworthy, enabling the company to attract investment at a lower cost (</w:t>
      </w:r>
      <w:proofErr w:type="spellStart"/>
      <w:r>
        <w:t>Chemmanur</w:t>
      </w:r>
      <w:proofErr w:type="spellEnd"/>
      <w:r>
        <w:t xml:space="preserve"> &amp; </w:t>
      </w:r>
      <w:proofErr w:type="spellStart"/>
      <w:r>
        <w:t>Paeglis</w:t>
      </w:r>
      <w:proofErr w:type="spellEnd"/>
      <w:r>
        <w:t xml:space="preserve">, 2005; </w:t>
      </w:r>
      <w:proofErr w:type="spellStart"/>
      <w:r>
        <w:t>Chemmanur</w:t>
      </w:r>
      <w:proofErr w:type="spellEnd"/>
      <w:r>
        <w:t xml:space="preserve">, </w:t>
      </w:r>
      <w:proofErr w:type="spellStart"/>
      <w:r>
        <w:t>Paeglis</w:t>
      </w:r>
      <w:proofErr w:type="spellEnd"/>
      <w:r>
        <w:t xml:space="preserve">, &amp; </w:t>
      </w:r>
      <w:proofErr w:type="spellStart"/>
      <w:r>
        <w:t>Simonyan</w:t>
      </w:r>
      <w:proofErr w:type="spellEnd"/>
      <w:r>
        <w:t xml:space="preserve">, 2010). </w:t>
      </w:r>
    </w:p>
    <w:p w14:paraId="1B73CDC8" w14:textId="77777777" w:rsidR="00340A38" w:rsidRDefault="00000000">
      <w:pPr>
        <w:spacing w:line="480" w:lineRule="auto"/>
        <w:jc w:val="both"/>
      </w:pPr>
      <w:r>
        <w:t xml:space="preserve">We now turn to the institutional investors. Based on the regression result, the coefficient of IACT is also statistically significant and is around 0.09 under OLS and around 0.026 when the time and individual effects are controlled under the fix-effects model and the random-effects model. The outcome indicates that the institutional investors would also have effects on capital structure. As IACT directly represents the percentage of active investors, we can confirm our proposition that institutional investors would prefer higher leverage to maximize the shareholders’ wealth. </w:t>
      </w:r>
    </w:p>
    <w:p w14:paraId="44AA2270" w14:textId="77777777" w:rsidR="00340A38" w:rsidRDefault="00000000">
      <w:pPr>
        <w:spacing w:line="480" w:lineRule="auto"/>
        <w:jc w:val="both"/>
      </w:pPr>
      <w:r>
        <w:t xml:space="preserve">Besides, based on our regression results, the coefficient of IS_SOE is statistically significant, with a positive value of around 0.013. This reveals that the SOEs are more likely to have a higher leverage ratio, which can also be supported by previous studies. The leverage ratio of SOEs in China is significantly higher than that of private enterprises due to vertical industrial structure characteristics, more solid enterprise qualification, and implicit government guarantees (Wang et al., 2018). </w:t>
      </w:r>
    </w:p>
    <w:p w14:paraId="4DF7ED81" w14:textId="77777777" w:rsidR="00340A38" w:rsidRDefault="00000000">
      <w:pPr>
        <w:spacing w:line="480" w:lineRule="auto"/>
        <w:jc w:val="both"/>
      </w:pPr>
      <w:r>
        <w:lastRenderedPageBreak/>
        <w:t xml:space="preserve">However, based on our results from three regression models, the factor of BOD is not statistically significant. This reveals that BOD, especially in China, may not have a considerable effect on capital structure. This can be explained by several factors based on prior studies. Basically, the BODs don’t have great initiatives and ability to manage the agency's problems, especially in preventing the over-investment of the CEOs. Specifically, it’s hard for the BODs to identify and confirm the over-investment behavior of the CEOs because of the asymmetric information (Liu et al., 2012). Moreover, Adams and Ferreira (2007) also theoretically proved that the effectiveness of the </w:t>
      </w:r>
      <w:proofErr w:type="spellStart"/>
      <w:r>
        <w:t>BODs’</w:t>
      </w:r>
      <w:proofErr w:type="spellEnd"/>
      <w:r>
        <w:t xml:space="preserve"> oversight crucially depends on whether the management discloses internal company information to them. Besides, the legal risks for BODs brought about by managers' excessive investment are smaller, as the law would not deem operational failure because of over-investment as an illegal act. Thus, they also don’t have strong motivation. These may result in BODs not displaying a strong effect on the capital structure, especially relative to the influence of CEOs and intuitional investors.  </w:t>
      </w:r>
    </w:p>
    <w:p w14:paraId="3B5F42AF" w14:textId="77777777" w:rsidR="00340A38" w:rsidRDefault="00000000">
      <w:pPr>
        <w:spacing w:line="480" w:lineRule="auto"/>
        <w:jc w:val="both"/>
      </w:pPr>
      <w:r>
        <w:t xml:space="preserve">Therefore, based on our results, both CEO and Institutional Investors exert an influence on the capital structure choice while the impact from BOD appears to be not significant. </w:t>
      </w:r>
    </w:p>
    <w:p w14:paraId="2EE57C72" w14:textId="77777777" w:rsidR="002030EC" w:rsidRDefault="002030EC">
      <w:pPr>
        <w:spacing w:after="0"/>
        <w:rPr>
          <w:b/>
          <w:sz w:val="20"/>
          <w:szCs w:val="20"/>
        </w:rPr>
      </w:pPr>
    </w:p>
    <w:p w14:paraId="2997F95F" w14:textId="77777777" w:rsidR="002030EC" w:rsidRDefault="002030EC">
      <w:pPr>
        <w:spacing w:after="0"/>
        <w:rPr>
          <w:b/>
          <w:sz w:val="20"/>
          <w:szCs w:val="20"/>
        </w:rPr>
      </w:pPr>
    </w:p>
    <w:p w14:paraId="1AD2D394" w14:textId="77777777" w:rsidR="002030EC" w:rsidRDefault="002030EC">
      <w:pPr>
        <w:spacing w:after="0"/>
        <w:rPr>
          <w:b/>
          <w:sz w:val="20"/>
          <w:szCs w:val="20"/>
        </w:rPr>
      </w:pPr>
    </w:p>
    <w:p w14:paraId="474B3AA0" w14:textId="77777777" w:rsidR="002030EC" w:rsidRDefault="002030EC">
      <w:pPr>
        <w:spacing w:after="0"/>
        <w:rPr>
          <w:b/>
          <w:sz w:val="20"/>
          <w:szCs w:val="20"/>
        </w:rPr>
      </w:pPr>
    </w:p>
    <w:p w14:paraId="390083D1" w14:textId="77777777" w:rsidR="002030EC" w:rsidRDefault="002030EC">
      <w:pPr>
        <w:spacing w:after="0"/>
        <w:rPr>
          <w:b/>
          <w:sz w:val="20"/>
          <w:szCs w:val="20"/>
        </w:rPr>
      </w:pPr>
    </w:p>
    <w:p w14:paraId="66C9F57A" w14:textId="77777777" w:rsidR="002030EC" w:rsidRDefault="002030EC">
      <w:pPr>
        <w:spacing w:after="0"/>
        <w:rPr>
          <w:b/>
          <w:sz w:val="20"/>
          <w:szCs w:val="20"/>
        </w:rPr>
      </w:pPr>
    </w:p>
    <w:p w14:paraId="327578CD" w14:textId="77777777" w:rsidR="002030EC" w:rsidRDefault="002030EC">
      <w:pPr>
        <w:spacing w:after="0"/>
        <w:rPr>
          <w:b/>
          <w:sz w:val="20"/>
          <w:szCs w:val="20"/>
        </w:rPr>
      </w:pPr>
    </w:p>
    <w:p w14:paraId="5257C621" w14:textId="77777777" w:rsidR="002030EC" w:rsidRDefault="002030EC">
      <w:pPr>
        <w:spacing w:after="0"/>
        <w:rPr>
          <w:b/>
          <w:sz w:val="20"/>
          <w:szCs w:val="20"/>
        </w:rPr>
      </w:pPr>
    </w:p>
    <w:p w14:paraId="43E63FCA" w14:textId="77777777" w:rsidR="002030EC" w:rsidRDefault="002030EC">
      <w:pPr>
        <w:spacing w:after="0"/>
        <w:rPr>
          <w:b/>
          <w:sz w:val="20"/>
          <w:szCs w:val="20"/>
        </w:rPr>
      </w:pPr>
    </w:p>
    <w:p w14:paraId="2E3F4F66" w14:textId="77777777" w:rsidR="002030EC" w:rsidRDefault="002030EC">
      <w:pPr>
        <w:spacing w:after="0"/>
        <w:rPr>
          <w:b/>
          <w:sz w:val="20"/>
          <w:szCs w:val="20"/>
        </w:rPr>
      </w:pPr>
    </w:p>
    <w:p w14:paraId="1ACFB9AA" w14:textId="77777777" w:rsidR="002030EC" w:rsidRDefault="002030EC">
      <w:pPr>
        <w:spacing w:after="0"/>
        <w:rPr>
          <w:b/>
          <w:sz w:val="20"/>
          <w:szCs w:val="20"/>
        </w:rPr>
      </w:pPr>
    </w:p>
    <w:p w14:paraId="1631FCBA" w14:textId="77777777" w:rsidR="002030EC" w:rsidRDefault="002030EC">
      <w:pPr>
        <w:spacing w:after="0"/>
        <w:rPr>
          <w:b/>
          <w:sz w:val="20"/>
          <w:szCs w:val="20"/>
        </w:rPr>
      </w:pPr>
    </w:p>
    <w:p w14:paraId="508DFEBA" w14:textId="2E127C29" w:rsidR="00340A38" w:rsidRDefault="00000000">
      <w:pPr>
        <w:spacing w:after="0"/>
        <w:rPr>
          <w:b/>
          <w:sz w:val="20"/>
          <w:szCs w:val="20"/>
        </w:rPr>
      </w:pPr>
      <w:r>
        <w:rPr>
          <w:b/>
          <w:sz w:val="20"/>
          <w:szCs w:val="20"/>
        </w:rPr>
        <w:lastRenderedPageBreak/>
        <w:t>Table 4</w:t>
      </w:r>
    </w:p>
    <w:tbl>
      <w:tblPr>
        <w:tblStyle w:val="a9"/>
        <w:tblW w:w="8580" w:type="dxa"/>
        <w:tblBorders>
          <w:top w:val="nil"/>
          <w:left w:val="nil"/>
          <w:bottom w:val="nil"/>
          <w:right w:val="nil"/>
          <w:insideH w:val="nil"/>
          <w:insideV w:val="nil"/>
        </w:tblBorders>
        <w:tblLayout w:type="fixed"/>
        <w:tblLook w:val="0600" w:firstRow="0" w:lastRow="0" w:firstColumn="0" w:lastColumn="0" w:noHBand="1" w:noVBand="1"/>
      </w:tblPr>
      <w:tblGrid>
        <w:gridCol w:w="1875"/>
        <w:gridCol w:w="2235"/>
        <w:gridCol w:w="2235"/>
        <w:gridCol w:w="2235"/>
      </w:tblGrid>
      <w:tr w:rsidR="00340A38" w14:paraId="4ABF685E" w14:textId="77777777">
        <w:trPr>
          <w:trHeight w:val="285"/>
        </w:trPr>
        <w:tc>
          <w:tcPr>
            <w:tcW w:w="1875" w:type="dxa"/>
            <w:tcBorders>
              <w:top w:val="single" w:sz="6" w:space="0" w:color="000000"/>
              <w:left w:val="nil"/>
              <w:bottom w:val="nil"/>
              <w:right w:val="nil"/>
            </w:tcBorders>
            <w:tcMar>
              <w:top w:w="0" w:type="dxa"/>
              <w:left w:w="100" w:type="dxa"/>
              <w:bottom w:w="0" w:type="dxa"/>
              <w:right w:w="100" w:type="dxa"/>
            </w:tcMar>
          </w:tcPr>
          <w:p w14:paraId="72720686" w14:textId="77777777" w:rsidR="00340A38" w:rsidRDefault="00340A38">
            <w:pPr>
              <w:spacing w:after="0" w:line="240" w:lineRule="auto"/>
              <w:rPr>
                <w:sz w:val="18"/>
                <w:szCs w:val="18"/>
              </w:rPr>
            </w:pPr>
          </w:p>
        </w:tc>
        <w:tc>
          <w:tcPr>
            <w:tcW w:w="2235" w:type="dxa"/>
            <w:tcBorders>
              <w:top w:val="single" w:sz="6" w:space="0" w:color="000000"/>
              <w:left w:val="nil"/>
              <w:bottom w:val="nil"/>
              <w:right w:val="nil"/>
            </w:tcBorders>
            <w:tcMar>
              <w:top w:w="0" w:type="dxa"/>
              <w:left w:w="100" w:type="dxa"/>
              <w:bottom w:w="0" w:type="dxa"/>
              <w:right w:w="100" w:type="dxa"/>
            </w:tcMar>
          </w:tcPr>
          <w:p w14:paraId="1B714488" w14:textId="77777777" w:rsidR="00340A38" w:rsidRDefault="00000000">
            <w:pPr>
              <w:spacing w:after="0" w:line="240" w:lineRule="auto"/>
              <w:rPr>
                <w:sz w:val="18"/>
                <w:szCs w:val="18"/>
              </w:rPr>
            </w:pPr>
            <w:r>
              <w:rPr>
                <w:sz w:val="18"/>
                <w:szCs w:val="18"/>
              </w:rPr>
              <w:t>OLS</w:t>
            </w:r>
          </w:p>
        </w:tc>
        <w:tc>
          <w:tcPr>
            <w:tcW w:w="2235" w:type="dxa"/>
            <w:tcBorders>
              <w:top w:val="single" w:sz="6" w:space="0" w:color="000000"/>
              <w:left w:val="nil"/>
              <w:bottom w:val="nil"/>
              <w:right w:val="nil"/>
            </w:tcBorders>
            <w:tcMar>
              <w:top w:w="0" w:type="dxa"/>
              <w:left w:w="100" w:type="dxa"/>
              <w:bottom w:w="0" w:type="dxa"/>
              <w:right w:w="100" w:type="dxa"/>
            </w:tcMar>
          </w:tcPr>
          <w:p w14:paraId="635EE700" w14:textId="77777777" w:rsidR="00340A38" w:rsidRDefault="00000000">
            <w:pPr>
              <w:spacing w:after="0" w:line="240" w:lineRule="auto"/>
              <w:rPr>
                <w:sz w:val="18"/>
                <w:szCs w:val="18"/>
              </w:rPr>
            </w:pPr>
            <w:r>
              <w:rPr>
                <w:sz w:val="18"/>
                <w:szCs w:val="18"/>
              </w:rPr>
              <w:t>Fixed Effects</w:t>
            </w:r>
          </w:p>
        </w:tc>
        <w:tc>
          <w:tcPr>
            <w:tcW w:w="2235" w:type="dxa"/>
            <w:tcBorders>
              <w:top w:val="single" w:sz="6" w:space="0" w:color="000000"/>
              <w:left w:val="nil"/>
              <w:bottom w:val="nil"/>
              <w:right w:val="nil"/>
            </w:tcBorders>
            <w:tcMar>
              <w:top w:w="0" w:type="dxa"/>
              <w:left w:w="100" w:type="dxa"/>
              <w:bottom w:w="0" w:type="dxa"/>
              <w:right w:w="100" w:type="dxa"/>
            </w:tcMar>
          </w:tcPr>
          <w:p w14:paraId="4AD0E3C9" w14:textId="77777777" w:rsidR="00340A38" w:rsidRDefault="00000000">
            <w:pPr>
              <w:spacing w:after="0" w:line="240" w:lineRule="auto"/>
              <w:rPr>
                <w:sz w:val="18"/>
                <w:szCs w:val="18"/>
              </w:rPr>
            </w:pPr>
            <w:r>
              <w:rPr>
                <w:sz w:val="18"/>
                <w:szCs w:val="18"/>
              </w:rPr>
              <w:t>Random Effects</w:t>
            </w:r>
          </w:p>
        </w:tc>
      </w:tr>
      <w:tr w:rsidR="00340A38" w14:paraId="4251F108" w14:textId="77777777">
        <w:trPr>
          <w:trHeight w:val="285"/>
        </w:trPr>
        <w:tc>
          <w:tcPr>
            <w:tcW w:w="1875" w:type="dxa"/>
            <w:tcBorders>
              <w:top w:val="nil"/>
              <w:left w:val="nil"/>
              <w:bottom w:val="nil"/>
              <w:right w:val="nil"/>
            </w:tcBorders>
            <w:tcMar>
              <w:top w:w="0" w:type="dxa"/>
              <w:left w:w="100" w:type="dxa"/>
              <w:bottom w:w="0" w:type="dxa"/>
              <w:right w:w="100" w:type="dxa"/>
            </w:tcMar>
          </w:tcPr>
          <w:p w14:paraId="2C13A987" w14:textId="77777777" w:rsidR="00340A38" w:rsidRDefault="00000000">
            <w:pPr>
              <w:spacing w:after="0" w:line="240" w:lineRule="auto"/>
              <w:rPr>
                <w:sz w:val="18"/>
                <w:szCs w:val="18"/>
              </w:rPr>
            </w:pPr>
            <w:r>
              <w:rPr>
                <w:sz w:val="18"/>
                <w:szCs w:val="18"/>
              </w:rPr>
              <w:t xml:space="preserve"> </w:t>
            </w:r>
          </w:p>
        </w:tc>
        <w:tc>
          <w:tcPr>
            <w:tcW w:w="2235" w:type="dxa"/>
            <w:tcBorders>
              <w:top w:val="nil"/>
              <w:left w:val="nil"/>
              <w:bottom w:val="nil"/>
              <w:right w:val="nil"/>
            </w:tcBorders>
            <w:tcMar>
              <w:top w:w="0" w:type="dxa"/>
              <w:left w:w="100" w:type="dxa"/>
              <w:bottom w:w="0" w:type="dxa"/>
              <w:right w:w="100" w:type="dxa"/>
            </w:tcMar>
          </w:tcPr>
          <w:p w14:paraId="095B6F8C" w14:textId="77777777" w:rsidR="00340A38" w:rsidRDefault="00000000">
            <w:pPr>
              <w:spacing w:after="0" w:line="240" w:lineRule="auto"/>
              <w:rPr>
                <w:sz w:val="18"/>
                <w:szCs w:val="18"/>
              </w:rPr>
            </w:pPr>
            <w:proofErr w:type="gramStart"/>
            <w:r>
              <w:rPr>
                <w:sz w:val="18"/>
                <w:szCs w:val="18"/>
              </w:rPr>
              <w:t>LEV(</w:t>
            </w:r>
            <w:proofErr w:type="gramEnd"/>
            <w:r>
              <w:rPr>
                <w:sz w:val="18"/>
                <w:szCs w:val="18"/>
              </w:rPr>
              <w:t>1)</w:t>
            </w:r>
          </w:p>
        </w:tc>
        <w:tc>
          <w:tcPr>
            <w:tcW w:w="2235" w:type="dxa"/>
            <w:tcBorders>
              <w:top w:val="nil"/>
              <w:left w:val="nil"/>
              <w:bottom w:val="nil"/>
              <w:right w:val="nil"/>
            </w:tcBorders>
            <w:tcMar>
              <w:top w:w="0" w:type="dxa"/>
              <w:left w:w="100" w:type="dxa"/>
              <w:bottom w:w="0" w:type="dxa"/>
              <w:right w:w="100" w:type="dxa"/>
            </w:tcMar>
          </w:tcPr>
          <w:p w14:paraId="13D2F6A0" w14:textId="77777777" w:rsidR="00340A38" w:rsidRDefault="00000000">
            <w:pPr>
              <w:spacing w:after="0" w:line="240" w:lineRule="auto"/>
              <w:rPr>
                <w:sz w:val="18"/>
                <w:szCs w:val="18"/>
              </w:rPr>
            </w:pPr>
            <w:proofErr w:type="gramStart"/>
            <w:r>
              <w:rPr>
                <w:sz w:val="18"/>
                <w:szCs w:val="18"/>
              </w:rPr>
              <w:t>LEV(</w:t>
            </w:r>
            <w:proofErr w:type="gramEnd"/>
            <w:r>
              <w:rPr>
                <w:sz w:val="18"/>
                <w:szCs w:val="18"/>
              </w:rPr>
              <w:t>2)</w:t>
            </w:r>
          </w:p>
        </w:tc>
        <w:tc>
          <w:tcPr>
            <w:tcW w:w="2235" w:type="dxa"/>
            <w:tcBorders>
              <w:top w:val="nil"/>
              <w:left w:val="nil"/>
              <w:bottom w:val="nil"/>
              <w:right w:val="nil"/>
            </w:tcBorders>
            <w:tcMar>
              <w:top w:w="0" w:type="dxa"/>
              <w:left w:w="100" w:type="dxa"/>
              <w:bottom w:w="0" w:type="dxa"/>
              <w:right w:w="100" w:type="dxa"/>
            </w:tcMar>
          </w:tcPr>
          <w:p w14:paraId="1F4C0469" w14:textId="77777777" w:rsidR="00340A38" w:rsidRDefault="00000000">
            <w:pPr>
              <w:spacing w:after="0" w:line="240" w:lineRule="auto"/>
              <w:rPr>
                <w:sz w:val="18"/>
                <w:szCs w:val="18"/>
              </w:rPr>
            </w:pPr>
            <w:proofErr w:type="gramStart"/>
            <w:r>
              <w:rPr>
                <w:sz w:val="18"/>
                <w:szCs w:val="18"/>
              </w:rPr>
              <w:t>LEV(</w:t>
            </w:r>
            <w:proofErr w:type="gramEnd"/>
            <w:r>
              <w:rPr>
                <w:sz w:val="18"/>
                <w:szCs w:val="18"/>
              </w:rPr>
              <w:t>3)</w:t>
            </w:r>
          </w:p>
        </w:tc>
      </w:tr>
      <w:tr w:rsidR="00340A38" w14:paraId="1AE73B76" w14:textId="77777777">
        <w:trPr>
          <w:trHeight w:val="240"/>
        </w:trPr>
        <w:tc>
          <w:tcPr>
            <w:tcW w:w="1875" w:type="dxa"/>
            <w:tcBorders>
              <w:top w:val="single" w:sz="6" w:space="0" w:color="000000"/>
              <w:left w:val="nil"/>
              <w:bottom w:val="nil"/>
              <w:right w:val="nil"/>
            </w:tcBorders>
            <w:tcMar>
              <w:top w:w="0" w:type="dxa"/>
              <w:left w:w="100" w:type="dxa"/>
              <w:bottom w:w="0" w:type="dxa"/>
              <w:right w:w="100" w:type="dxa"/>
            </w:tcMar>
          </w:tcPr>
          <w:p w14:paraId="5C98A548" w14:textId="77777777" w:rsidR="00340A38" w:rsidRDefault="00000000">
            <w:pPr>
              <w:spacing w:after="0" w:line="240" w:lineRule="auto"/>
              <w:rPr>
                <w:sz w:val="18"/>
                <w:szCs w:val="18"/>
              </w:rPr>
            </w:pPr>
            <w:r>
              <w:rPr>
                <w:sz w:val="18"/>
                <w:szCs w:val="18"/>
              </w:rPr>
              <w:t>CEO2</w:t>
            </w:r>
          </w:p>
        </w:tc>
        <w:tc>
          <w:tcPr>
            <w:tcW w:w="2235" w:type="dxa"/>
            <w:tcBorders>
              <w:top w:val="single" w:sz="6" w:space="0" w:color="000000"/>
              <w:left w:val="nil"/>
              <w:bottom w:val="nil"/>
              <w:right w:val="nil"/>
            </w:tcBorders>
            <w:tcMar>
              <w:top w:w="0" w:type="dxa"/>
              <w:left w:w="100" w:type="dxa"/>
              <w:bottom w:w="0" w:type="dxa"/>
              <w:right w:w="100" w:type="dxa"/>
            </w:tcMar>
          </w:tcPr>
          <w:p w14:paraId="6709B224" w14:textId="77777777" w:rsidR="00340A38" w:rsidRDefault="00000000">
            <w:pPr>
              <w:spacing w:after="0" w:line="240" w:lineRule="auto"/>
              <w:rPr>
                <w:sz w:val="18"/>
                <w:szCs w:val="18"/>
                <w:vertAlign w:val="superscript"/>
              </w:rPr>
            </w:pPr>
            <w:r>
              <w:rPr>
                <w:sz w:val="18"/>
                <w:szCs w:val="18"/>
              </w:rPr>
              <w:t>0.00595</w:t>
            </w:r>
            <w:r>
              <w:rPr>
                <w:sz w:val="18"/>
                <w:szCs w:val="18"/>
                <w:vertAlign w:val="superscript"/>
              </w:rPr>
              <w:t>***</w:t>
            </w:r>
          </w:p>
        </w:tc>
        <w:tc>
          <w:tcPr>
            <w:tcW w:w="2235" w:type="dxa"/>
            <w:tcBorders>
              <w:top w:val="single" w:sz="6" w:space="0" w:color="000000"/>
              <w:left w:val="nil"/>
              <w:bottom w:val="nil"/>
              <w:right w:val="nil"/>
            </w:tcBorders>
            <w:tcMar>
              <w:top w:w="0" w:type="dxa"/>
              <w:left w:w="100" w:type="dxa"/>
              <w:bottom w:w="0" w:type="dxa"/>
              <w:right w:w="100" w:type="dxa"/>
            </w:tcMar>
          </w:tcPr>
          <w:p w14:paraId="7A03F9FF" w14:textId="77777777" w:rsidR="00340A38" w:rsidRDefault="00000000">
            <w:pPr>
              <w:spacing w:after="0" w:line="240" w:lineRule="auto"/>
              <w:rPr>
                <w:sz w:val="18"/>
                <w:szCs w:val="18"/>
                <w:vertAlign w:val="superscript"/>
              </w:rPr>
            </w:pPr>
            <w:r>
              <w:rPr>
                <w:sz w:val="18"/>
                <w:szCs w:val="18"/>
              </w:rPr>
              <w:t>0.00425</w:t>
            </w:r>
            <w:r>
              <w:rPr>
                <w:sz w:val="18"/>
                <w:szCs w:val="18"/>
                <w:vertAlign w:val="superscript"/>
              </w:rPr>
              <w:t>***</w:t>
            </w:r>
          </w:p>
        </w:tc>
        <w:tc>
          <w:tcPr>
            <w:tcW w:w="2235" w:type="dxa"/>
            <w:tcBorders>
              <w:top w:val="single" w:sz="6" w:space="0" w:color="000000"/>
              <w:left w:val="nil"/>
              <w:bottom w:val="nil"/>
              <w:right w:val="nil"/>
            </w:tcBorders>
            <w:tcMar>
              <w:top w:w="0" w:type="dxa"/>
              <w:left w:w="100" w:type="dxa"/>
              <w:bottom w:w="0" w:type="dxa"/>
              <w:right w:w="100" w:type="dxa"/>
            </w:tcMar>
          </w:tcPr>
          <w:p w14:paraId="059AB38F" w14:textId="77777777" w:rsidR="00340A38" w:rsidRDefault="00000000">
            <w:pPr>
              <w:spacing w:after="0" w:line="240" w:lineRule="auto"/>
              <w:rPr>
                <w:sz w:val="18"/>
                <w:szCs w:val="18"/>
                <w:vertAlign w:val="superscript"/>
              </w:rPr>
            </w:pPr>
            <w:r>
              <w:rPr>
                <w:sz w:val="18"/>
                <w:szCs w:val="18"/>
              </w:rPr>
              <w:t>0.00435</w:t>
            </w:r>
            <w:r>
              <w:rPr>
                <w:sz w:val="18"/>
                <w:szCs w:val="18"/>
                <w:vertAlign w:val="superscript"/>
              </w:rPr>
              <w:t>***</w:t>
            </w:r>
          </w:p>
        </w:tc>
      </w:tr>
      <w:tr w:rsidR="00340A38" w14:paraId="0398D028" w14:textId="77777777">
        <w:trPr>
          <w:trHeight w:val="285"/>
        </w:trPr>
        <w:tc>
          <w:tcPr>
            <w:tcW w:w="1875" w:type="dxa"/>
            <w:tcBorders>
              <w:top w:val="nil"/>
              <w:left w:val="nil"/>
              <w:bottom w:val="nil"/>
              <w:right w:val="nil"/>
            </w:tcBorders>
            <w:tcMar>
              <w:top w:w="0" w:type="dxa"/>
              <w:left w:w="100" w:type="dxa"/>
              <w:bottom w:w="0" w:type="dxa"/>
              <w:right w:w="100" w:type="dxa"/>
            </w:tcMar>
          </w:tcPr>
          <w:p w14:paraId="33E0CE6C" w14:textId="77777777" w:rsidR="00340A38" w:rsidRDefault="00000000">
            <w:pPr>
              <w:spacing w:after="0" w:line="240" w:lineRule="auto"/>
              <w:rPr>
                <w:sz w:val="18"/>
                <w:szCs w:val="18"/>
              </w:rPr>
            </w:pPr>
            <w:r>
              <w:rPr>
                <w:sz w:val="18"/>
                <w:szCs w:val="18"/>
              </w:rPr>
              <w:t xml:space="preserve"> </w:t>
            </w:r>
          </w:p>
        </w:tc>
        <w:tc>
          <w:tcPr>
            <w:tcW w:w="2235" w:type="dxa"/>
            <w:tcBorders>
              <w:top w:val="nil"/>
              <w:left w:val="nil"/>
              <w:bottom w:val="nil"/>
              <w:right w:val="nil"/>
            </w:tcBorders>
            <w:tcMar>
              <w:top w:w="0" w:type="dxa"/>
              <w:left w:w="100" w:type="dxa"/>
              <w:bottom w:w="0" w:type="dxa"/>
              <w:right w:w="100" w:type="dxa"/>
            </w:tcMar>
          </w:tcPr>
          <w:p w14:paraId="525BD3AF" w14:textId="77777777" w:rsidR="00340A38" w:rsidRDefault="00000000">
            <w:pPr>
              <w:spacing w:after="0" w:line="240" w:lineRule="auto"/>
              <w:rPr>
                <w:sz w:val="18"/>
                <w:szCs w:val="18"/>
              </w:rPr>
            </w:pPr>
            <w:r>
              <w:rPr>
                <w:sz w:val="18"/>
                <w:szCs w:val="18"/>
              </w:rPr>
              <w:t>(5.09)</w:t>
            </w:r>
          </w:p>
        </w:tc>
        <w:tc>
          <w:tcPr>
            <w:tcW w:w="2235" w:type="dxa"/>
            <w:tcBorders>
              <w:top w:val="nil"/>
              <w:left w:val="nil"/>
              <w:bottom w:val="nil"/>
              <w:right w:val="nil"/>
            </w:tcBorders>
            <w:tcMar>
              <w:top w:w="0" w:type="dxa"/>
              <w:left w:w="100" w:type="dxa"/>
              <w:bottom w:w="0" w:type="dxa"/>
              <w:right w:w="100" w:type="dxa"/>
            </w:tcMar>
          </w:tcPr>
          <w:p w14:paraId="27D4C13C" w14:textId="77777777" w:rsidR="00340A38" w:rsidRDefault="00000000">
            <w:pPr>
              <w:spacing w:after="0" w:line="240" w:lineRule="auto"/>
              <w:rPr>
                <w:sz w:val="18"/>
                <w:szCs w:val="18"/>
              </w:rPr>
            </w:pPr>
            <w:r>
              <w:rPr>
                <w:sz w:val="18"/>
                <w:szCs w:val="18"/>
              </w:rPr>
              <w:t>(3.67)</w:t>
            </w:r>
          </w:p>
        </w:tc>
        <w:tc>
          <w:tcPr>
            <w:tcW w:w="2235" w:type="dxa"/>
            <w:tcBorders>
              <w:top w:val="nil"/>
              <w:left w:val="nil"/>
              <w:bottom w:val="nil"/>
              <w:right w:val="nil"/>
            </w:tcBorders>
            <w:tcMar>
              <w:top w:w="0" w:type="dxa"/>
              <w:left w:w="100" w:type="dxa"/>
              <w:bottom w:w="0" w:type="dxa"/>
              <w:right w:w="100" w:type="dxa"/>
            </w:tcMar>
          </w:tcPr>
          <w:p w14:paraId="2805DA6A" w14:textId="77777777" w:rsidR="00340A38" w:rsidRDefault="00000000">
            <w:pPr>
              <w:spacing w:after="0" w:line="240" w:lineRule="auto"/>
              <w:rPr>
                <w:sz w:val="18"/>
                <w:szCs w:val="18"/>
              </w:rPr>
            </w:pPr>
            <w:r>
              <w:rPr>
                <w:sz w:val="18"/>
                <w:szCs w:val="18"/>
              </w:rPr>
              <w:t>(3.87)</w:t>
            </w:r>
          </w:p>
        </w:tc>
      </w:tr>
      <w:tr w:rsidR="00340A38" w14:paraId="217CA61B" w14:textId="77777777">
        <w:trPr>
          <w:trHeight w:val="285"/>
        </w:trPr>
        <w:tc>
          <w:tcPr>
            <w:tcW w:w="1875" w:type="dxa"/>
            <w:tcBorders>
              <w:top w:val="nil"/>
              <w:left w:val="nil"/>
              <w:bottom w:val="nil"/>
              <w:right w:val="nil"/>
            </w:tcBorders>
            <w:tcMar>
              <w:top w:w="0" w:type="dxa"/>
              <w:left w:w="100" w:type="dxa"/>
              <w:bottom w:w="0" w:type="dxa"/>
              <w:right w:w="100" w:type="dxa"/>
            </w:tcMar>
          </w:tcPr>
          <w:p w14:paraId="18763220" w14:textId="77777777" w:rsidR="00340A38" w:rsidRDefault="00000000">
            <w:pPr>
              <w:spacing w:after="0" w:line="240" w:lineRule="auto"/>
              <w:rPr>
                <w:sz w:val="18"/>
                <w:szCs w:val="18"/>
              </w:rPr>
            </w:pPr>
            <w:r>
              <w:rPr>
                <w:sz w:val="18"/>
                <w:szCs w:val="18"/>
              </w:rPr>
              <w:t>BOD1</w:t>
            </w:r>
          </w:p>
        </w:tc>
        <w:tc>
          <w:tcPr>
            <w:tcW w:w="2235" w:type="dxa"/>
            <w:tcBorders>
              <w:top w:val="nil"/>
              <w:left w:val="nil"/>
              <w:bottom w:val="nil"/>
              <w:right w:val="nil"/>
            </w:tcBorders>
            <w:tcMar>
              <w:top w:w="0" w:type="dxa"/>
              <w:left w:w="100" w:type="dxa"/>
              <w:bottom w:w="0" w:type="dxa"/>
              <w:right w:w="100" w:type="dxa"/>
            </w:tcMar>
          </w:tcPr>
          <w:p w14:paraId="096DB3D2" w14:textId="77777777" w:rsidR="00340A38" w:rsidRDefault="00000000">
            <w:pPr>
              <w:spacing w:after="0" w:line="276" w:lineRule="auto"/>
              <w:rPr>
                <w:sz w:val="18"/>
                <w:szCs w:val="18"/>
              </w:rPr>
            </w:pPr>
            <w:r>
              <w:rPr>
                <w:sz w:val="18"/>
                <w:szCs w:val="18"/>
              </w:rPr>
              <w:t>0.00107</w:t>
            </w:r>
          </w:p>
        </w:tc>
        <w:tc>
          <w:tcPr>
            <w:tcW w:w="2235" w:type="dxa"/>
            <w:tcBorders>
              <w:top w:val="nil"/>
              <w:left w:val="nil"/>
              <w:bottom w:val="nil"/>
              <w:right w:val="nil"/>
            </w:tcBorders>
            <w:tcMar>
              <w:top w:w="0" w:type="dxa"/>
              <w:left w:w="100" w:type="dxa"/>
              <w:bottom w:w="0" w:type="dxa"/>
              <w:right w:w="100" w:type="dxa"/>
            </w:tcMar>
          </w:tcPr>
          <w:p w14:paraId="5098299F" w14:textId="77777777" w:rsidR="00340A38" w:rsidRDefault="00000000">
            <w:pPr>
              <w:spacing w:after="0" w:line="240" w:lineRule="auto"/>
              <w:rPr>
                <w:sz w:val="18"/>
                <w:szCs w:val="18"/>
              </w:rPr>
            </w:pPr>
            <w:r>
              <w:rPr>
                <w:sz w:val="18"/>
                <w:szCs w:val="18"/>
              </w:rPr>
              <w:t>-0.00199</w:t>
            </w:r>
          </w:p>
        </w:tc>
        <w:tc>
          <w:tcPr>
            <w:tcW w:w="2235" w:type="dxa"/>
            <w:tcBorders>
              <w:top w:val="nil"/>
              <w:left w:val="nil"/>
              <w:bottom w:val="nil"/>
              <w:right w:val="nil"/>
            </w:tcBorders>
            <w:tcMar>
              <w:top w:w="0" w:type="dxa"/>
              <w:left w:w="100" w:type="dxa"/>
              <w:bottom w:w="0" w:type="dxa"/>
              <w:right w:w="100" w:type="dxa"/>
            </w:tcMar>
          </w:tcPr>
          <w:p w14:paraId="7881AAA6" w14:textId="77777777" w:rsidR="00340A38" w:rsidRDefault="00000000">
            <w:pPr>
              <w:spacing w:after="0" w:line="240" w:lineRule="auto"/>
              <w:rPr>
                <w:sz w:val="18"/>
                <w:szCs w:val="18"/>
              </w:rPr>
            </w:pPr>
            <w:r>
              <w:rPr>
                <w:sz w:val="18"/>
                <w:szCs w:val="18"/>
              </w:rPr>
              <w:t>-0.00295</w:t>
            </w:r>
            <w:r>
              <w:rPr>
                <w:sz w:val="18"/>
                <w:szCs w:val="18"/>
                <w:vertAlign w:val="superscript"/>
              </w:rPr>
              <w:t>**</w:t>
            </w:r>
          </w:p>
        </w:tc>
      </w:tr>
      <w:tr w:rsidR="00340A38" w14:paraId="753F423B" w14:textId="77777777">
        <w:trPr>
          <w:trHeight w:val="285"/>
        </w:trPr>
        <w:tc>
          <w:tcPr>
            <w:tcW w:w="1875" w:type="dxa"/>
            <w:tcBorders>
              <w:top w:val="nil"/>
              <w:left w:val="nil"/>
              <w:bottom w:val="nil"/>
              <w:right w:val="nil"/>
            </w:tcBorders>
            <w:tcMar>
              <w:top w:w="0" w:type="dxa"/>
              <w:left w:w="100" w:type="dxa"/>
              <w:bottom w:w="0" w:type="dxa"/>
              <w:right w:w="100" w:type="dxa"/>
            </w:tcMar>
          </w:tcPr>
          <w:p w14:paraId="45FD20C4" w14:textId="77777777" w:rsidR="00340A38" w:rsidRDefault="00000000">
            <w:pPr>
              <w:spacing w:after="0" w:line="240" w:lineRule="auto"/>
              <w:rPr>
                <w:sz w:val="18"/>
                <w:szCs w:val="18"/>
              </w:rPr>
            </w:pPr>
            <w:r>
              <w:rPr>
                <w:sz w:val="18"/>
                <w:szCs w:val="18"/>
              </w:rPr>
              <w:t xml:space="preserve"> </w:t>
            </w:r>
          </w:p>
        </w:tc>
        <w:tc>
          <w:tcPr>
            <w:tcW w:w="2235" w:type="dxa"/>
            <w:tcBorders>
              <w:top w:val="nil"/>
              <w:left w:val="nil"/>
              <w:bottom w:val="nil"/>
              <w:right w:val="nil"/>
            </w:tcBorders>
            <w:tcMar>
              <w:top w:w="0" w:type="dxa"/>
              <w:left w:w="100" w:type="dxa"/>
              <w:bottom w:w="0" w:type="dxa"/>
              <w:right w:w="100" w:type="dxa"/>
            </w:tcMar>
          </w:tcPr>
          <w:p w14:paraId="1ADED992" w14:textId="77777777" w:rsidR="00340A38" w:rsidRDefault="00000000">
            <w:pPr>
              <w:spacing w:after="0" w:line="240" w:lineRule="auto"/>
              <w:rPr>
                <w:sz w:val="18"/>
                <w:szCs w:val="18"/>
              </w:rPr>
            </w:pPr>
            <w:r>
              <w:rPr>
                <w:sz w:val="18"/>
                <w:szCs w:val="18"/>
              </w:rPr>
              <w:t>(-0.35)</w:t>
            </w:r>
          </w:p>
        </w:tc>
        <w:tc>
          <w:tcPr>
            <w:tcW w:w="2235" w:type="dxa"/>
            <w:tcBorders>
              <w:top w:val="nil"/>
              <w:left w:val="nil"/>
              <w:bottom w:val="nil"/>
              <w:right w:val="nil"/>
            </w:tcBorders>
            <w:tcMar>
              <w:top w:w="0" w:type="dxa"/>
              <w:left w:w="100" w:type="dxa"/>
              <w:bottom w:w="0" w:type="dxa"/>
              <w:right w:w="100" w:type="dxa"/>
            </w:tcMar>
          </w:tcPr>
          <w:p w14:paraId="724D6BC3" w14:textId="77777777" w:rsidR="00340A38" w:rsidRDefault="00000000">
            <w:pPr>
              <w:spacing w:after="0" w:line="240" w:lineRule="auto"/>
              <w:rPr>
                <w:sz w:val="18"/>
                <w:szCs w:val="18"/>
              </w:rPr>
            </w:pPr>
            <w:r>
              <w:rPr>
                <w:sz w:val="18"/>
                <w:szCs w:val="18"/>
              </w:rPr>
              <w:t>(-1.32)</w:t>
            </w:r>
          </w:p>
        </w:tc>
        <w:tc>
          <w:tcPr>
            <w:tcW w:w="2235" w:type="dxa"/>
            <w:tcBorders>
              <w:top w:val="nil"/>
              <w:left w:val="nil"/>
              <w:bottom w:val="nil"/>
              <w:right w:val="nil"/>
            </w:tcBorders>
            <w:tcMar>
              <w:top w:w="0" w:type="dxa"/>
              <w:left w:w="100" w:type="dxa"/>
              <w:bottom w:w="0" w:type="dxa"/>
              <w:right w:w="100" w:type="dxa"/>
            </w:tcMar>
          </w:tcPr>
          <w:p w14:paraId="1F2BFABF" w14:textId="77777777" w:rsidR="00340A38" w:rsidRDefault="00000000">
            <w:pPr>
              <w:spacing w:after="0" w:line="240" w:lineRule="auto"/>
              <w:rPr>
                <w:sz w:val="18"/>
                <w:szCs w:val="18"/>
              </w:rPr>
            </w:pPr>
            <w:r>
              <w:rPr>
                <w:sz w:val="18"/>
                <w:szCs w:val="18"/>
              </w:rPr>
              <w:t>(-2.1)</w:t>
            </w:r>
          </w:p>
        </w:tc>
      </w:tr>
      <w:tr w:rsidR="00340A38" w14:paraId="4FAFD4ED" w14:textId="77777777">
        <w:trPr>
          <w:trHeight w:val="240"/>
        </w:trPr>
        <w:tc>
          <w:tcPr>
            <w:tcW w:w="1875" w:type="dxa"/>
            <w:tcBorders>
              <w:top w:val="nil"/>
              <w:left w:val="nil"/>
              <w:bottom w:val="nil"/>
              <w:right w:val="nil"/>
            </w:tcBorders>
            <w:tcMar>
              <w:top w:w="0" w:type="dxa"/>
              <w:left w:w="100" w:type="dxa"/>
              <w:bottom w:w="0" w:type="dxa"/>
              <w:right w:w="100" w:type="dxa"/>
            </w:tcMar>
          </w:tcPr>
          <w:p w14:paraId="16DCD144" w14:textId="77777777" w:rsidR="00340A38" w:rsidRDefault="00000000">
            <w:pPr>
              <w:spacing w:after="0" w:line="240" w:lineRule="auto"/>
              <w:rPr>
                <w:sz w:val="18"/>
                <w:szCs w:val="18"/>
              </w:rPr>
            </w:pPr>
            <w:r>
              <w:rPr>
                <w:sz w:val="18"/>
                <w:szCs w:val="18"/>
              </w:rPr>
              <w:t>IACT</w:t>
            </w:r>
          </w:p>
        </w:tc>
        <w:tc>
          <w:tcPr>
            <w:tcW w:w="2235" w:type="dxa"/>
            <w:tcBorders>
              <w:top w:val="nil"/>
              <w:left w:val="nil"/>
              <w:bottom w:val="nil"/>
              <w:right w:val="nil"/>
            </w:tcBorders>
            <w:tcMar>
              <w:top w:w="0" w:type="dxa"/>
              <w:left w:w="100" w:type="dxa"/>
              <w:bottom w:w="0" w:type="dxa"/>
              <w:right w:w="100" w:type="dxa"/>
            </w:tcMar>
          </w:tcPr>
          <w:p w14:paraId="3054CC89" w14:textId="77777777" w:rsidR="00340A38" w:rsidRDefault="00000000">
            <w:pPr>
              <w:spacing w:after="0" w:line="240" w:lineRule="auto"/>
              <w:rPr>
                <w:sz w:val="18"/>
                <w:szCs w:val="18"/>
                <w:vertAlign w:val="superscript"/>
              </w:rPr>
            </w:pPr>
            <w:r>
              <w:rPr>
                <w:sz w:val="18"/>
                <w:szCs w:val="18"/>
              </w:rPr>
              <w:t>0.0917256</w:t>
            </w:r>
            <w:r>
              <w:rPr>
                <w:sz w:val="18"/>
                <w:szCs w:val="18"/>
                <w:vertAlign w:val="superscript"/>
              </w:rPr>
              <w:t>***</w:t>
            </w:r>
          </w:p>
        </w:tc>
        <w:tc>
          <w:tcPr>
            <w:tcW w:w="2235" w:type="dxa"/>
            <w:tcBorders>
              <w:top w:val="nil"/>
              <w:left w:val="nil"/>
              <w:bottom w:val="nil"/>
              <w:right w:val="nil"/>
            </w:tcBorders>
            <w:tcMar>
              <w:top w:w="0" w:type="dxa"/>
              <w:left w:w="100" w:type="dxa"/>
              <w:bottom w:w="0" w:type="dxa"/>
              <w:right w:w="100" w:type="dxa"/>
            </w:tcMar>
          </w:tcPr>
          <w:p w14:paraId="40376B67" w14:textId="77777777" w:rsidR="00340A38" w:rsidRDefault="00000000">
            <w:pPr>
              <w:spacing w:after="0" w:line="240" w:lineRule="auto"/>
              <w:rPr>
                <w:sz w:val="18"/>
                <w:szCs w:val="18"/>
                <w:vertAlign w:val="superscript"/>
              </w:rPr>
            </w:pPr>
            <w:r>
              <w:rPr>
                <w:sz w:val="18"/>
                <w:szCs w:val="18"/>
              </w:rPr>
              <w:t>0.0277908</w:t>
            </w:r>
            <w:r>
              <w:rPr>
                <w:sz w:val="18"/>
                <w:szCs w:val="18"/>
                <w:vertAlign w:val="superscript"/>
              </w:rPr>
              <w:t>***</w:t>
            </w:r>
          </w:p>
        </w:tc>
        <w:tc>
          <w:tcPr>
            <w:tcW w:w="2235" w:type="dxa"/>
            <w:tcBorders>
              <w:top w:val="nil"/>
              <w:left w:val="nil"/>
              <w:bottom w:val="nil"/>
              <w:right w:val="nil"/>
            </w:tcBorders>
            <w:tcMar>
              <w:top w:w="0" w:type="dxa"/>
              <w:left w:w="100" w:type="dxa"/>
              <w:bottom w:w="0" w:type="dxa"/>
              <w:right w:w="100" w:type="dxa"/>
            </w:tcMar>
          </w:tcPr>
          <w:p w14:paraId="29201AC6" w14:textId="77777777" w:rsidR="00340A38" w:rsidRDefault="00000000">
            <w:pPr>
              <w:spacing w:after="0" w:line="240" w:lineRule="auto"/>
              <w:rPr>
                <w:sz w:val="18"/>
                <w:szCs w:val="18"/>
                <w:vertAlign w:val="superscript"/>
              </w:rPr>
            </w:pPr>
            <w:r>
              <w:rPr>
                <w:sz w:val="18"/>
                <w:szCs w:val="18"/>
              </w:rPr>
              <w:t>0.0255</w:t>
            </w:r>
            <w:r>
              <w:rPr>
                <w:sz w:val="18"/>
                <w:szCs w:val="18"/>
                <w:vertAlign w:val="superscript"/>
              </w:rPr>
              <w:t>**</w:t>
            </w:r>
          </w:p>
        </w:tc>
      </w:tr>
      <w:tr w:rsidR="00340A38" w14:paraId="485F7AE3" w14:textId="77777777">
        <w:trPr>
          <w:trHeight w:val="285"/>
        </w:trPr>
        <w:tc>
          <w:tcPr>
            <w:tcW w:w="1875" w:type="dxa"/>
            <w:tcBorders>
              <w:top w:val="nil"/>
              <w:left w:val="nil"/>
              <w:bottom w:val="nil"/>
              <w:right w:val="nil"/>
            </w:tcBorders>
            <w:tcMar>
              <w:top w:w="0" w:type="dxa"/>
              <w:left w:w="100" w:type="dxa"/>
              <w:bottom w:w="0" w:type="dxa"/>
              <w:right w:w="100" w:type="dxa"/>
            </w:tcMar>
          </w:tcPr>
          <w:p w14:paraId="27886E60" w14:textId="77777777" w:rsidR="00340A38" w:rsidRDefault="00000000">
            <w:pPr>
              <w:spacing w:after="0" w:line="240" w:lineRule="auto"/>
              <w:rPr>
                <w:sz w:val="18"/>
                <w:szCs w:val="18"/>
              </w:rPr>
            </w:pPr>
            <w:r>
              <w:rPr>
                <w:sz w:val="18"/>
                <w:szCs w:val="18"/>
              </w:rPr>
              <w:t xml:space="preserve"> </w:t>
            </w:r>
          </w:p>
        </w:tc>
        <w:tc>
          <w:tcPr>
            <w:tcW w:w="2235" w:type="dxa"/>
            <w:tcBorders>
              <w:top w:val="nil"/>
              <w:left w:val="nil"/>
              <w:bottom w:val="nil"/>
              <w:right w:val="nil"/>
            </w:tcBorders>
            <w:tcMar>
              <w:top w:w="0" w:type="dxa"/>
              <w:left w:w="100" w:type="dxa"/>
              <w:bottom w:w="0" w:type="dxa"/>
              <w:right w:w="100" w:type="dxa"/>
            </w:tcMar>
          </w:tcPr>
          <w:p w14:paraId="37FF3064" w14:textId="77777777" w:rsidR="00340A38" w:rsidRDefault="00000000">
            <w:pPr>
              <w:spacing w:after="0" w:line="240" w:lineRule="auto"/>
              <w:rPr>
                <w:sz w:val="18"/>
                <w:szCs w:val="18"/>
              </w:rPr>
            </w:pPr>
            <w:r>
              <w:rPr>
                <w:sz w:val="18"/>
                <w:szCs w:val="18"/>
              </w:rPr>
              <w:t>(6.84)</w:t>
            </w:r>
          </w:p>
        </w:tc>
        <w:tc>
          <w:tcPr>
            <w:tcW w:w="2235" w:type="dxa"/>
            <w:tcBorders>
              <w:top w:val="nil"/>
              <w:left w:val="nil"/>
              <w:bottom w:val="nil"/>
              <w:right w:val="nil"/>
            </w:tcBorders>
            <w:tcMar>
              <w:top w:w="0" w:type="dxa"/>
              <w:left w:w="100" w:type="dxa"/>
              <w:bottom w:w="0" w:type="dxa"/>
              <w:right w:w="100" w:type="dxa"/>
            </w:tcMar>
          </w:tcPr>
          <w:p w14:paraId="53F04C29" w14:textId="77777777" w:rsidR="00340A38" w:rsidRDefault="00000000">
            <w:pPr>
              <w:spacing w:after="0" w:line="240" w:lineRule="auto"/>
              <w:rPr>
                <w:sz w:val="18"/>
                <w:szCs w:val="18"/>
              </w:rPr>
            </w:pPr>
            <w:r>
              <w:rPr>
                <w:sz w:val="18"/>
                <w:szCs w:val="18"/>
              </w:rPr>
              <w:t>(2.58)</w:t>
            </w:r>
          </w:p>
        </w:tc>
        <w:tc>
          <w:tcPr>
            <w:tcW w:w="2235" w:type="dxa"/>
            <w:tcBorders>
              <w:top w:val="nil"/>
              <w:left w:val="nil"/>
              <w:bottom w:val="nil"/>
              <w:right w:val="nil"/>
            </w:tcBorders>
            <w:tcMar>
              <w:top w:w="0" w:type="dxa"/>
              <w:left w:w="100" w:type="dxa"/>
              <w:bottom w:w="0" w:type="dxa"/>
              <w:right w:w="100" w:type="dxa"/>
            </w:tcMar>
          </w:tcPr>
          <w:p w14:paraId="44A6A6F2" w14:textId="77777777" w:rsidR="00340A38" w:rsidRDefault="00000000">
            <w:pPr>
              <w:spacing w:after="0" w:line="240" w:lineRule="auto"/>
              <w:rPr>
                <w:sz w:val="18"/>
                <w:szCs w:val="18"/>
              </w:rPr>
            </w:pPr>
            <w:r>
              <w:rPr>
                <w:sz w:val="18"/>
                <w:szCs w:val="18"/>
              </w:rPr>
              <w:t>(0.44)</w:t>
            </w:r>
          </w:p>
        </w:tc>
      </w:tr>
      <w:tr w:rsidR="00340A38" w14:paraId="4FB33DC8" w14:textId="77777777">
        <w:trPr>
          <w:trHeight w:val="240"/>
        </w:trPr>
        <w:tc>
          <w:tcPr>
            <w:tcW w:w="1875" w:type="dxa"/>
            <w:tcBorders>
              <w:top w:val="nil"/>
              <w:left w:val="nil"/>
              <w:bottom w:val="nil"/>
              <w:right w:val="nil"/>
            </w:tcBorders>
            <w:tcMar>
              <w:top w:w="0" w:type="dxa"/>
              <w:left w:w="100" w:type="dxa"/>
              <w:bottom w:w="0" w:type="dxa"/>
              <w:right w:w="100" w:type="dxa"/>
            </w:tcMar>
          </w:tcPr>
          <w:p w14:paraId="11FA42AA" w14:textId="77777777" w:rsidR="00340A38" w:rsidRDefault="00000000">
            <w:pPr>
              <w:spacing w:after="0" w:line="240" w:lineRule="auto"/>
              <w:rPr>
                <w:sz w:val="18"/>
                <w:szCs w:val="18"/>
              </w:rPr>
            </w:pPr>
            <w:r>
              <w:rPr>
                <w:sz w:val="18"/>
                <w:szCs w:val="18"/>
              </w:rPr>
              <w:t>SIZE</w:t>
            </w:r>
          </w:p>
        </w:tc>
        <w:tc>
          <w:tcPr>
            <w:tcW w:w="2235" w:type="dxa"/>
            <w:tcBorders>
              <w:top w:val="nil"/>
              <w:left w:val="nil"/>
              <w:bottom w:val="nil"/>
              <w:right w:val="nil"/>
            </w:tcBorders>
            <w:tcMar>
              <w:top w:w="0" w:type="dxa"/>
              <w:left w:w="100" w:type="dxa"/>
              <w:bottom w:w="0" w:type="dxa"/>
              <w:right w:w="100" w:type="dxa"/>
            </w:tcMar>
          </w:tcPr>
          <w:p w14:paraId="48DC3253" w14:textId="77777777" w:rsidR="00340A38" w:rsidRDefault="00000000">
            <w:pPr>
              <w:spacing w:after="0" w:line="240" w:lineRule="auto"/>
              <w:rPr>
                <w:sz w:val="18"/>
                <w:szCs w:val="18"/>
                <w:vertAlign w:val="superscript"/>
              </w:rPr>
            </w:pPr>
            <w:r>
              <w:rPr>
                <w:sz w:val="18"/>
                <w:szCs w:val="18"/>
              </w:rPr>
              <w:t>0.0107</w:t>
            </w:r>
            <w:r>
              <w:rPr>
                <w:sz w:val="18"/>
                <w:szCs w:val="18"/>
                <w:vertAlign w:val="superscript"/>
              </w:rPr>
              <w:t>***</w:t>
            </w:r>
          </w:p>
        </w:tc>
        <w:tc>
          <w:tcPr>
            <w:tcW w:w="2235" w:type="dxa"/>
            <w:tcBorders>
              <w:top w:val="nil"/>
              <w:left w:val="nil"/>
              <w:bottom w:val="nil"/>
              <w:right w:val="nil"/>
            </w:tcBorders>
            <w:tcMar>
              <w:top w:w="0" w:type="dxa"/>
              <w:left w:w="100" w:type="dxa"/>
              <w:bottom w:w="0" w:type="dxa"/>
              <w:right w:w="100" w:type="dxa"/>
            </w:tcMar>
          </w:tcPr>
          <w:p w14:paraId="42836754" w14:textId="77777777" w:rsidR="00340A38" w:rsidRDefault="00000000">
            <w:pPr>
              <w:spacing w:after="0" w:line="240" w:lineRule="auto"/>
              <w:rPr>
                <w:sz w:val="18"/>
                <w:szCs w:val="18"/>
                <w:vertAlign w:val="superscript"/>
              </w:rPr>
            </w:pPr>
            <w:r>
              <w:rPr>
                <w:sz w:val="18"/>
                <w:szCs w:val="18"/>
              </w:rPr>
              <w:t>-0.0630</w:t>
            </w:r>
            <w:r>
              <w:rPr>
                <w:sz w:val="18"/>
                <w:szCs w:val="18"/>
                <w:vertAlign w:val="superscript"/>
              </w:rPr>
              <w:t>***</w:t>
            </w:r>
          </w:p>
        </w:tc>
        <w:tc>
          <w:tcPr>
            <w:tcW w:w="2235" w:type="dxa"/>
            <w:tcBorders>
              <w:top w:val="nil"/>
              <w:left w:val="nil"/>
              <w:bottom w:val="nil"/>
              <w:right w:val="nil"/>
            </w:tcBorders>
            <w:tcMar>
              <w:top w:w="0" w:type="dxa"/>
              <w:left w:w="100" w:type="dxa"/>
              <w:bottom w:w="0" w:type="dxa"/>
              <w:right w:w="100" w:type="dxa"/>
            </w:tcMar>
          </w:tcPr>
          <w:p w14:paraId="461FDECD" w14:textId="77777777" w:rsidR="00340A38" w:rsidRDefault="00000000">
            <w:pPr>
              <w:spacing w:after="0" w:line="240" w:lineRule="auto"/>
              <w:rPr>
                <w:sz w:val="18"/>
                <w:szCs w:val="18"/>
                <w:vertAlign w:val="superscript"/>
              </w:rPr>
            </w:pPr>
            <w:r>
              <w:rPr>
                <w:sz w:val="18"/>
                <w:szCs w:val="18"/>
              </w:rPr>
              <w:t>-0.0471</w:t>
            </w:r>
            <w:r>
              <w:rPr>
                <w:sz w:val="18"/>
                <w:szCs w:val="18"/>
                <w:vertAlign w:val="superscript"/>
              </w:rPr>
              <w:t>***</w:t>
            </w:r>
          </w:p>
        </w:tc>
      </w:tr>
      <w:tr w:rsidR="00340A38" w14:paraId="7F2AEB3C" w14:textId="77777777">
        <w:trPr>
          <w:trHeight w:val="285"/>
        </w:trPr>
        <w:tc>
          <w:tcPr>
            <w:tcW w:w="1875" w:type="dxa"/>
            <w:tcBorders>
              <w:top w:val="nil"/>
              <w:left w:val="nil"/>
              <w:bottom w:val="nil"/>
              <w:right w:val="nil"/>
            </w:tcBorders>
            <w:tcMar>
              <w:top w:w="0" w:type="dxa"/>
              <w:left w:w="100" w:type="dxa"/>
              <w:bottom w:w="0" w:type="dxa"/>
              <w:right w:w="100" w:type="dxa"/>
            </w:tcMar>
          </w:tcPr>
          <w:p w14:paraId="2A55FD4C" w14:textId="77777777" w:rsidR="00340A38" w:rsidRDefault="00000000">
            <w:pPr>
              <w:spacing w:after="0" w:line="240" w:lineRule="auto"/>
              <w:rPr>
                <w:sz w:val="18"/>
                <w:szCs w:val="18"/>
              </w:rPr>
            </w:pPr>
            <w:r>
              <w:rPr>
                <w:sz w:val="18"/>
                <w:szCs w:val="18"/>
              </w:rPr>
              <w:t xml:space="preserve"> </w:t>
            </w:r>
          </w:p>
        </w:tc>
        <w:tc>
          <w:tcPr>
            <w:tcW w:w="2235" w:type="dxa"/>
            <w:tcBorders>
              <w:top w:val="nil"/>
              <w:left w:val="nil"/>
              <w:bottom w:val="nil"/>
              <w:right w:val="nil"/>
            </w:tcBorders>
            <w:tcMar>
              <w:top w:w="0" w:type="dxa"/>
              <w:left w:w="100" w:type="dxa"/>
              <w:bottom w:w="0" w:type="dxa"/>
              <w:right w:w="100" w:type="dxa"/>
            </w:tcMar>
          </w:tcPr>
          <w:p w14:paraId="3FE305B4" w14:textId="77777777" w:rsidR="00340A38" w:rsidRDefault="00000000">
            <w:pPr>
              <w:spacing w:after="0" w:line="240" w:lineRule="auto"/>
              <w:rPr>
                <w:sz w:val="18"/>
                <w:szCs w:val="18"/>
              </w:rPr>
            </w:pPr>
            <w:r>
              <w:rPr>
                <w:sz w:val="18"/>
                <w:szCs w:val="18"/>
              </w:rPr>
              <w:t>(4.63)</w:t>
            </w:r>
          </w:p>
        </w:tc>
        <w:tc>
          <w:tcPr>
            <w:tcW w:w="2235" w:type="dxa"/>
            <w:tcBorders>
              <w:top w:val="nil"/>
              <w:left w:val="nil"/>
              <w:bottom w:val="nil"/>
              <w:right w:val="nil"/>
            </w:tcBorders>
            <w:tcMar>
              <w:top w:w="0" w:type="dxa"/>
              <w:left w:w="100" w:type="dxa"/>
              <w:bottom w:w="0" w:type="dxa"/>
              <w:right w:w="100" w:type="dxa"/>
            </w:tcMar>
          </w:tcPr>
          <w:p w14:paraId="035EB3F8" w14:textId="77777777" w:rsidR="00340A38" w:rsidRDefault="00000000">
            <w:pPr>
              <w:spacing w:after="0" w:line="240" w:lineRule="auto"/>
              <w:rPr>
                <w:sz w:val="18"/>
                <w:szCs w:val="18"/>
              </w:rPr>
            </w:pPr>
            <w:r>
              <w:rPr>
                <w:sz w:val="18"/>
                <w:szCs w:val="18"/>
              </w:rPr>
              <w:t>(-20.86)</w:t>
            </w:r>
          </w:p>
        </w:tc>
        <w:tc>
          <w:tcPr>
            <w:tcW w:w="2235" w:type="dxa"/>
            <w:tcBorders>
              <w:top w:val="nil"/>
              <w:left w:val="nil"/>
              <w:bottom w:val="nil"/>
              <w:right w:val="nil"/>
            </w:tcBorders>
            <w:tcMar>
              <w:top w:w="0" w:type="dxa"/>
              <w:left w:w="100" w:type="dxa"/>
              <w:bottom w:w="0" w:type="dxa"/>
              <w:right w:w="100" w:type="dxa"/>
            </w:tcMar>
          </w:tcPr>
          <w:p w14:paraId="632AE1F2" w14:textId="77777777" w:rsidR="00340A38" w:rsidRDefault="00000000">
            <w:pPr>
              <w:spacing w:after="0" w:line="240" w:lineRule="auto"/>
              <w:rPr>
                <w:sz w:val="18"/>
                <w:szCs w:val="18"/>
              </w:rPr>
            </w:pPr>
            <w:r>
              <w:rPr>
                <w:sz w:val="18"/>
                <w:szCs w:val="18"/>
              </w:rPr>
              <w:t>(-17.08)</w:t>
            </w:r>
          </w:p>
        </w:tc>
      </w:tr>
      <w:tr w:rsidR="00340A38" w14:paraId="78BDB52B" w14:textId="77777777">
        <w:trPr>
          <w:trHeight w:val="255"/>
        </w:trPr>
        <w:tc>
          <w:tcPr>
            <w:tcW w:w="1875" w:type="dxa"/>
            <w:tcBorders>
              <w:top w:val="nil"/>
              <w:left w:val="nil"/>
              <w:bottom w:val="nil"/>
              <w:right w:val="nil"/>
            </w:tcBorders>
            <w:tcMar>
              <w:top w:w="0" w:type="dxa"/>
              <w:left w:w="100" w:type="dxa"/>
              <w:bottom w:w="0" w:type="dxa"/>
              <w:right w:w="100" w:type="dxa"/>
            </w:tcMar>
          </w:tcPr>
          <w:p w14:paraId="2C8F5356" w14:textId="77777777" w:rsidR="00340A38" w:rsidRDefault="00000000">
            <w:pPr>
              <w:spacing w:after="0" w:line="240" w:lineRule="auto"/>
              <w:rPr>
                <w:sz w:val="18"/>
                <w:szCs w:val="18"/>
              </w:rPr>
            </w:pPr>
            <w:r>
              <w:rPr>
                <w:sz w:val="18"/>
                <w:szCs w:val="18"/>
              </w:rPr>
              <w:t>ROA</w:t>
            </w:r>
          </w:p>
        </w:tc>
        <w:tc>
          <w:tcPr>
            <w:tcW w:w="2235" w:type="dxa"/>
            <w:tcBorders>
              <w:top w:val="nil"/>
              <w:left w:val="nil"/>
              <w:bottom w:val="nil"/>
              <w:right w:val="nil"/>
            </w:tcBorders>
            <w:tcMar>
              <w:top w:w="0" w:type="dxa"/>
              <w:left w:w="100" w:type="dxa"/>
              <w:bottom w:w="0" w:type="dxa"/>
              <w:right w:w="100" w:type="dxa"/>
            </w:tcMar>
          </w:tcPr>
          <w:p w14:paraId="117CCB5C" w14:textId="77777777" w:rsidR="00340A38" w:rsidRDefault="00000000">
            <w:pPr>
              <w:spacing w:after="0" w:line="240" w:lineRule="auto"/>
              <w:rPr>
                <w:sz w:val="18"/>
                <w:szCs w:val="18"/>
                <w:vertAlign w:val="superscript"/>
              </w:rPr>
            </w:pPr>
            <w:r>
              <w:rPr>
                <w:sz w:val="18"/>
                <w:szCs w:val="18"/>
              </w:rPr>
              <w:t>-0.000595</w:t>
            </w:r>
            <w:r>
              <w:rPr>
                <w:sz w:val="18"/>
                <w:szCs w:val="18"/>
                <w:vertAlign w:val="superscript"/>
              </w:rPr>
              <w:t>***</w:t>
            </w:r>
          </w:p>
        </w:tc>
        <w:tc>
          <w:tcPr>
            <w:tcW w:w="2235" w:type="dxa"/>
            <w:tcBorders>
              <w:top w:val="nil"/>
              <w:left w:val="nil"/>
              <w:bottom w:val="nil"/>
              <w:right w:val="nil"/>
            </w:tcBorders>
            <w:tcMar>
              <w:top w:w="0" w:type="dxa"/>
              <w:left w:w="100" w:type="dxa"/>
              <w:bottom w:w="0" w:type="dxa"/>
              <w:right w:w="100" w:type="dxa"/>
            </w:tcMar>
          </w:tcPr>
          <w:p w14:paraId="7B9235FA" w14:textId="77777777" w:rsidR="00340A38" w:rsidRDefault="00000000">
            <w:pPr>
              <w:spacing w:after="0" w:line="240" w:lineRule="auto"/>
              <w:rPr>
                <w:sz w:val="18"/>
                <w:szCs w:val="18"/>
                <w:vertAlign w:val="superscript"/>
              </w:rPr>
            </w:pPr>
            <w:r>
              <w:rPr>
                <w:sz w:val="18"/>
                <w:szCs w:val="18"/>
              </w:rPr>
              <w:t>-0.000548</w:t>
            </w:r>
            <w:r>
              <w:rPr>
                <w:sz w:val="18"/>
                <w:szCs w:val="18"/>
                <w:vertAlign w:val="superscript"/>
              </w:rPr>
              <w:t>***</w:t>
            </w:r>
          </w:p>
        </w:tc>
        <w:tc>
          <w:tcPr>
            <w:tcW w:w="2235" w:type="dxa"/>
            <w:tcBorders>
              <w:top w:val="nil"/>
              <w:left w:val="nil"/>
              <w:bottom w:val="nil"/>
              <w:right w:val="nil"/>
            </w:tcBorders>
            <w:tcMar>
              <w:top w:w="0" w:type="dxa"/>
              <w:left w:w="100" w:type="dxa"/>
              <w:bottom w:w="0" w:type="dxa"/>
              <w:right w:w="100" w:type="dxa"/>
            </w:tcMar>
          </w:tcPr>
          <w:p w14:paraId="332DA272" w14:textId="77777777" w:rsidR="00340A38" w:rsidRDefault="00000000">
            <w:pPr>
              <w:spacing w:after="0" w:line="240" w:lineRule="auto"/>
              <w:rPr>
                <w:sz w:val="18"/>
                <w:szCs w:val="18"/>
                <w:vertAlign w:val="superscript"/>
              </w:rPr>
            </w:pPr>
            <w:r>
              <w:rPr>
                <w:sz w:val="18"/>
                <w:szCs w:val="18"/>
              </w:rPr>
              <w:t>-0.000525</w:t>
            </w:r>
            <w:r>
              <w:rPr>
                <w:sz w:val="18"/>
                <w:szCs w:val="18"/>
                <w:vertAlign w:val="superscript"/>
              </w:rPr>
              <w:t>***</w:t>
            </w:r>
          </w:p>
        </w:tc>
      </w:tr>
      <w:tr w:rsidR="00340A38" w14:paraId="04FAF755" w14:textId="77777777">
        <w:trPr>
          <w:trHeight w:val="285"/>
        </w:trPr>
        <w:tc>
          <w:tcPr>
            <w:tcW w:w="1875" w:type="dxa"/>
            <w:tcBorders>
              <w:top w:val="nil"/>
              <w:left w:val="nil"/>
              <w:bottom w:val="nil"/>
              <w:right w:val="nil"/>
            </w:tcBorders>
            <w:tcMar>
              <w:top w:w="0" w:type="dxa"/>
              <w:left w:w="100" w:type="dxa"/>
              <w:bottom w:w="0" w:type="dxa"/>
              <w:right w:w="100" w:type="dxa"/>
            </w:tcMar>
          </w:tcPr>
          <w:p w14:paraId="20DC36F2" w14:textId="77777777" w:rsidR="00340A38" w:rsidRDefault="00000000">
            <w:pPr>
              <w:spacing w:after="0" w:line="240" w:lineRule="auto"/>
              <w:rPr>
                <w:sz w:val="18"/>
                <w:szCs w:val="18"/>
              </w:rPr>
            </w:pPr>
            <w:r>
              <w:rPr>
                <w:sz w:val="18"/>
                <w:szCs w:val="18"/>
              </w:rPr>
              <w:t xml:space="preserve"> </w:t>
            </w:r>
          </w:p>
        </w:tc>
        <w:tc>
          <w:tcPr>
            <w:tcW w:w="2235" w:type="dxa"/>
            <w:tcBorders>
              <w:top w:val="nil"/>
              <w:left w:val="nil"/>
              <w:bottom w:val="nil"/>
              <w:right w:val="nil"/>
            </w:tcBorders>
            <w:tcMar>
              <w:top w:w="0" w:type="dxa"/>
              <w:left w:w="100" w:type="dxa"/>
              <w:bottom w:w="0" w:type="dxa"/>
              <w:right w:w="100" w:type="dxa"/>
            </w:tcMar>
          </w:tcPr>
          <w:p w14:paraId="3B34B336" w14:textId="77777777" w:rsidR="00340A38" w:rsidRDefault="00000000">
            <w:pPr>
              <w:spacing w:after="0" w:line="240" w:lineRule="auto"/>
              <w:rPr>
                <w:sz w:val="18"/>
                <w:szCs w:val="18"/>
              </w:rPr>
            </w:pPr>
            <w:r>
              <w:rPr>
                <w:sz w:val="18"/>
                <w:szCs w:val="18"/>
              </w:rPr>
              <w:t>(-6.72)</w:t>
            </w:r>
          </w:p>
        </w:tc>
        <w:tc>
          <w:tcPr>
            <w:tcW w:w="2235" w:type="dxa"/>
            <w:tcBorders>
              <w:top w:val="nil"/>
              <w:left w:val="nil"/>
              <w:bottom w:val="nil"/>
              <w:right w:val="nil"/>
            </w:tcBorders>
            <w:tcMar>
              <w:top w:w="0" w:type="dxa"/>
              <w:left w:w="100" w:type="dxa"/>
              <w:bottom w:w="0" w:type="dxa"/>
              <w:right w:w="100" w:type="dxa"/>
            </w:tcMar>
          </w:tcPr>
          <w:p w14:paraId="6FCBFB87" w14:textId="77777777" w:rsidR="00340A38" w:rsidRDefault="00000000">
            <w:pPr>
              <w:spacing w:after="0" w:line="240" w:lineRule="auto"/>
              <w:rPr>
                <w:sz w:val="18"/>
                <w:szCs w:val="18"/>
              </w:rPr>
            </w:pPr>
            <w:r>
              <w:rPr>
                <w:sz w:val="18"/>
                <w:szCs w:val="18"/>
              </w:rPr>
              <w:t>(-9.15)</w:t>
            </w:r>
          </w:p>
        </w:tc>
        <w:tc>
          <w:tcPr>
            <w:tcW w:w="2235" w:type="dxa"/>
            <w:tcBorders>
              <w:top w:val="nil"/>
              <w:left w:val="nil"/>
              <w:bottom w:val="nil"/>
              <w:right w:val="nil"/>
            </w:tcBorders>
            <w:tcMar>
              <w:top w:w="0" w:type="dxa"/>
              <w:left w:w="100" w:type="dxa"/>
              <w:bottom w:w="0" w:type="dxa"/>
              <w:right w:w="100" w:type="dxa"/>
            </w:tcMar>
          </w:tcPr>
          <w:p w14:paraId="7F7D4CDF" w14:textId="77777777" w:rsidR="00340A38" w:rsidRDefault="00000000">
            <w:pPr>
              <w:spacing w:after="0" w:line="240" w:lineRule="auto"/>
              <w:rPr>
                <w:sz w:val="18"/>
                <w:szCs w:val="18"/>
              </w:rPr>
            </w:pPr>
            <w:r>
              <w:rPr>
                <w:sz w:val="18"/>
                <w:szCs w:val="18"/>
              </w:rPr>
              <w:t>(-8.77)</w:t>
            </w:r>
          </w:p>
        </w:tc>
      </w:tr>
      <w:tr w:rsidR="00340A38" w14:paraId="43617620" w14:textId="77777777">
        <w:tc>
          <w:tcPr>
            <w:tcW w:w="1875" w:type="dxa"/>
            <w:tcBorders>
              <w:top w:val="nil"/>
              <w:left w:val="nil"/>
              <w:bottom w:val="nil"/>
              <w:right w:val="nil"/>
            </w:tcBorders>
            <w:tcMar>
              <w:top w:w="0" w:type="dxa"/>
              <w:left w:w="100" w:type="dxa"/>
              <w:bottom w:w="0" w:type="dxa"/>
              <w:right w:w="100" w:type="dxa"/>
            </w:tcMar>
          </w:tcPr>
          <w:p w14:paraId="2AEF3625" w14:textId="77777777" w:rsidR="00340A38" w:rsidRDefault="00000000">
            <w:pPr>
              <w:spacing w:after="0" w:line="240" w:lineRule="auto"/>
              <w:rPr>
                <w:sz w:val="18"/>
                <w:szCs w:val="18"/>
              </w:rPr>
            </w:pPr>
            <w:r>
              <w:rPr>
                <w:sz w:val="18"/>
                <w:szCs w:val="18"/>
              </w:rPr>
              <w:t>TANG</w:t>
            </w:r>
          </w:p>
        </w:tc>
        <w:tc>
          <w:tcPr>
            <w:tcW w:w="2235" w:type="dxa"/>
            <w:tcBorders>
              <w:top w:val="nil"/>
              <w:left w:val="nil"/>
              <w:bottom w:val="nil"/>
              <w:right w:val="nil"/>
            </w:tcBorders>
            <w:tcMar>
              <w:top w:w="0" w:type="dxa"/>
              <w:left w:w="100" w:type="dxa"/>
              <w:bottom w:w="0" w:type="dxa"/>
              <w:right w:w="100" w:type="dxa"/>
            </w:tcMar>
          </w:tcPr>
          <w:p w14:paraId="35FD011C" w14:textId="77777777" w:rsidR="00340A38" w:rsidRDefault="00000000">
            <w:pPr>
              <w:spacing w:after="0" w:line="240" w:lineRule="auto"/>
              <w:rPr>
                <w:sz w:val="18"/>
                <w:szCs w:val="18"/>
                <w:vertAlign w:val="superscript"/>
              </w:rPr>
            </w:pPr>
            <w:r>
              <w:rPr>
                <w:sz w:val="18"/>
                <w:szCs w:val="18"/>
              </w:rPr>
              <w:t>-0.876</w:t>
            </w:r>
            <w:r>
              <w:rPr>
                <w:sz w:val="18"/>
                <w:szCs w:val="18"/>
                <w:vertAlign w:val="superscript"/>
              </w:rPr>
              <w:t>***</w:t>
            </w:r>
          </w:p>
        </w:tc>
        <w:tc>
          <w:tcPr>
            <w:tcW w:w="2235" w:type="dxa"/>
            <w:tcBorders>
              <w:top w:val="nil"/>
              <w:left w:val="nil"/>
              <w:bottom w:val="nil"/>
              <w:right w:val="nil"/>
            </w:tcBorders>
            <w:tcMar>
              <w:top w:w="0" w:type="dxa"/>
              <w:left w:w="100" w:type="dxa"/>
              <w:bottom w:w="0" w:type="dxa"/>
              <w:right w:w="100" w:type="dxa"/>
            </w:tcMar>
          </w:tcPr>
          <w:p w14:paraId="46205694" w14:textId="77777777" w:rsidR="00340A38" w:rsidRDefault="00000000">
            <w:pPr>
              <w:spacing w:after="0" w:line="240" w:lineRule="auto"/>
              <w:rPr>
                <w:sz w:val="18"/>
                <w:szCs w:val="18"/>
                <w:vertAlign w:val="superscript"/>
              </w:rPr>
            </w:pPr>
            <w:r>
              <w:rPr>
                <w:sz w:val="18"/>
                <w:szCs w:val="18"/>
              </w:rPr>
              <w:t>-0.908</w:t>
            </w:r>
            <w:r>
              <w:rPr>
                <w:sz w:val="18"/>
                <w:szCs w:val="18"/>
                <w:vertAlign w:val="superscript"/>
              </w:rPr>
              <w:t>***</w:t>
            </w:r>
          </w:p>
        </w:tc>
        <w:tc>
          <w:tcPr>
            <w:tcW w:w="2235" w:type="dxa"/>
            <w:tcBorders>
              <w:top w:val="nil"/>
              <w:left w:val="nil"/>
              <w:bottom w:val="nil"/>
              <w:right w:val="nil"/>
            </w:tcBorders>
            <w:tcMar>
              <w:top w:w="0" w:type="dxa"/>
              <w:left w:w="100" w:type="dxa"/>
              <w:bottom w:w="0" w:type="dxa"/>
              <w:right w:w="100" w:type="dxa"/>
            </w:tcMar>
          </w:tcPr>
          <w:p w14:paraId="61A64993" w14:textId="77777777" w:rsidR="00340A38" w:rsidRDefault="00000000">
            <w:pPr>
              <w:spacing w:after="0" w:line="240" w:lineRule="auto"/>
              <w:rPr>
                <w:sz w:val="18"/>
                <w:szCs w:val="18"/>
                <w:vertAlign w:val="superscript"/>
              </w:rPr>
            </w:pPr>
            <w:r>
              <w:rPr>
                <w:sz w:val="18"/>
                <w:szCs w:val="18"/>
              </w:rPr>
              <w:t>-0.907</w:t>
            </w:r>
            <w:r>
              <w:rPr>
                <w:sz w:val="18"/>
                <w:szCs w:val="18"/>
                <w:vertAlign w:val="superscript"/>
              </w:rPr>
              <w:t>***</w:t>
            </w:r>
          </w:p>
        </w:tc>
      </w:tr>
      <w:tr w:rsidR="00340A38" w14:paraId="76708C91" w14:textId="77777777">
        <w:trPr>
          <w:trHeight w:val="300"/>
        </w:trPr>
        <w:tc>
          <w:tcPr>
            <w:tcW w:w="1875" w:type="dxa"/>
            <w:tcBorders>
              <w:top w:val="nil"/>
              <w:left w:val="nil"/>
              <w:bottom w:val="nil"/>
              <w:right w:val="nil"/>
            </w:tcBorders>
            <w:tcMar>
              <w:top w:w="0" w:type="dxa"/>
              <w:left w:w="100" w:type="dxa"/>
              <w:bottom w:w="0" w:type="dxa"/>
              <w:right w:w="100" w:type="dxa"/>
            </w:tcMar>
          </w:tcPr>
          <w:p w14:paraId="0CFD8EC8" w14:textId="77777777" w:rsidR="00340A38" w:rsidRDefault="00000000">
            <w:pPr>
              <w:spacing w:after="0" w:line="240" w:lineRule="auto"/>
              <w:rPr>
                <w:sz w:val="18"/>
                <w:szCs w:val="18"/>
              </w:rPr>
            </w:pPr>
            <w:r>
              <w:rPr>
                <w:sz w:val="18"/>
                <w:szCs w:val="18"/>
              </w:rPr>
              <w:t xml:space="preserve"> </w:t>
            </w:r>
          </w:p>
        </w:tc>
        <w:tc>
          <w:tcPr>
            <w:tcW w:w="2235" w:type="dxa"/>
            <w:tcBorders>
              <w:top w:val="nil"/>
              <w:left w:val="nil"/>
              <w:bottom w:val="nil"/>
              <w:right w:val="nil"/>
            </w:tcBorders>
            <w:tcMar>
              <w:top w:w="0" w:type="dxa"/>
              <w:left w:w="100" w:type="dxa"/>
              <w:bottom w:w="0" w:type="dxa"/>
              <w:right w:w="100" w:type="dxa"/>
            </w:tcMar>
          </w:tcPr>
          <w:p w14:paraId="765B4A5F" w14:textId="77777777" w:rsidR="00340A38" w:rsidRDefault="00000000">
            <w:pPr>
              <w:spacing w:after="0" w:line="240" w:lineRule="auto"/>
              <w:rPr>
                <w:sz w:val="18"/>
                <w:szCs w:val="18"/>
              </w:rPr>
            </w:pPr>
            <w:r>
              <w:rPr>
                <w:sz w:val="18"/>
                <w:szCs w:val="18"/>
              </w:rPr>
              <w:t>(-191.52)</w:t>
            </w:r>
          </w:p>
        </w:tc>
        <w:tc>
          <w:tcPr>
            <w:tcW w:w="2235" w:type="dxa"/>
            <w:tcBorders>
              <w:top w:val="nil"/>
              <w:left w:val="nil"/>
              <w:bottom w:val="nil"/>
              <w:right w:val="nil"/>
            </w:tcBorders>
            <w:tcMar>
              <w:top w:w="0" w:type="dxa"/>
              <w:left w:w="100" w:type="dxa"/>
              <w:bottom w:w="0" w:type="dxa"/>
              <w:right w:w="100" w:type="dxa"/>
            </w:tcMar>
          </w:tcPr>
          <w:p w14:paraId="274115CD" w14:textId="77777777" w:rsidR="00340A38" w:rsidRDefault="00000000">
            <w:pPr>
              <w:spacing w:after="0" w:line="240" w:lineRule="auto"/>
              <w:rPr>
                <w:sz w:val="18"/>
                <w:szCs w:val="18"/>
              </w:rPr>
            </w:pPr>
            <w:r>
              <w:rPr>
                <w:sz w:val="18"/>
                <w:szCs w:val="18"/>
              </w:rPr>
              <w:t>(-227.42)</w:t>
            </w:r>
          </w:p>
        </w:tc>
        <w:tc>
          <w:tcPr>
            <w:tcW w:w="2235" w:type="dxa"/>
            <w:tcBorders>
              <w:top w:val="nil"/>
              <w:left w:val="nil"/>
              <w:bottom w:val="nil"/>
              <w:right w:val="nil"/>
            </w:tcBorders>
            <w:tcMar>
              <w:top w:w="0" w:type="dxa"/>
              <w:left w:w="100" w:type="dxa"/>
              <w:bottom w:w="0" w:type="dxa"/>
              <w:right w:w="100" w:type="dxa"/>
            </w:tcMar>
          </w:tcPr>
          <w:p w14:paraId="06EE138C" w14:textId="77777777" w:rsidR="00340A38" w:rsidRDefault="00000000">
            <w:pPr>
              <w:spacing w:after="0" w:line="240" w:lineRule="auto"/>
              <w:rPr>
                <w:sz w:val="18"/>
                <w:szCs w:val="18"/>
              </w:rPr>
            </w:pPr>
            <w:r>
              <w:rPr>
                <w:sz w:val="18"/>
                <w:szCs w:val="18"/>
              </w:rPr>
              <w:t>(-230.47)</w:t>
            </w:r>
          </w:p>
        </w:tc>
      </w:tr>
      <w:tr w:rsidR="00340A38" w14:paraId="744519C5" w14:textId="77777777">
        <w:trPr>
          <w:trHeight w:val="285"/>
        </w:trPr>
        <w:tc>
          <w:tcPr>
            <w:tcW w:w="1875" w:type="dxa"/>
            <w:tcBorders>
              <w:top w:val="nil"/>
              <w:left w:val="nil"/>
              <w:bottom w:val="nil"/>
              <w:right w:val="nil"/>
            </w:tcBorders>
            <w:tcMar>
              <w:top w:w="0" w:type="dxa"/>
              <w:left w:w="100" w:type="dxa"/>
              <w:bottom w:w="0" w:type="dxa"/>
              <w:right w:w="100" w:type="dxa"/>
            </w:tcMar>
          </w:tcPr>
          <w:p w14:paraId="56CD850B" w14:textId="77777777" w:rsidR="00340A38" w:rsidRDefault="00000000">
            <w:pPr>
              <w:spacing w:after="0" w:line="240" w:lineRule="auto"/>
              <w:rPr>
                <w:sz w:val="18"/>
                <w:szCs w:val="18"/>
              </w:rPr>
            </w:pPr>
            <w:r>
              <w:rPr>
                <w:sz w:val="18"/>
                <w:szCs w:val="18"/>
              </w:rPr>
              <w:t>IS_SOE</w:t>
            </w:r>
          </w:p>
        </w:tc>
        <w:tc>
          <w:tcPr>
            <w:tcW w:w="2235" w:type="dxa"/>
            <w:tcBorders>
              <w:top w:val="nil"/>
              <w:left w:val="nil"/>
              <w:bottom w:val="nil"/>
              <w:right w:val="nil"/>
            </w:tcBorders>
            <w:tcMar>
              <w:top w:w="0" w:type="dxa"/>
              <w:left w:w="100" w:type="dxa"/>
              <w:bottom w:w="0" w:type="dxa"/>
              <w:right w:w="100" w:type="dxa"/>
            </w:tcMar>
          </w:tcPr>
          <w:p w14:paraId="2575E644" w14:textId="77777777" w:rsidR="00340A38" w:rsidRDefault="00000000">
            <w:pPr>
              <w:spacing w:after="0" w:line="240" w:lineRule="auto"/>
              <w:rPr>
                <w:sz w:val="18"/>
                <w:szCs w:val="18"/>
              </w:rPr>
            </w:pPr>
            <w:r>
              <w:rPr>
                <w:sz w:val="18"/>
                <w:szCs w:val="18"/>
              </w:rPr>
              <w:t>0.0130255</w:t>
            </w:r>
            <w:r>
              <w:rPr>
                <w:sz w:val="18"/>
                <w:szCs w:val="18"/>
                <w:vertAlign w:val="superscript"/>
              </w:rPr>
              <w:t>***</w:t>
            </w:r>
          </w:p>
        </w:tc>
        <w:tc>
          <w:tcPr>
            <w:tcW w:w="2235" w:type="dxa"/>
            <w:tcBorders>
              <w:top w:val="nil"/>
              <w:left w:val="nil"/>
              <w:bottom w:val="nil"/>
              <w:right w:val="nil"/>
            </w:tcBorders>
            <w:tcMar>
              <w:top w:w="0" w:type="dxa"/>
              <w:left w:w="100" w:type="dxa"/>
              <w:bottom w:w="0" w:type="dxa"/>
              <w:right w:w="100" w:type="dxa"/>
            </w:tcMar>
          </w:tcPr>
          <w:p w14:paraId="370F8E6D" w14:textId="77777777" w:rsidR="00340A38" w:rsidRDefault="00340A38">
            <w:pPr>
              <w:spacing w:after="0" w:line="240" w:lineRule="auto"/>
              <w:rPr>
                <w:sz w:val="18"/>
                <w:szCs w:val="18"/>
              </w:rPr>
            </w:pPr>
          </w:p>
        </w:tc>
        <w:tc>
          <w:tcPr>
            <w:tcW w:w="2235" w:type="dxa"/>
            <w:tcBorders>
              <w:top w:val="nil"/>
              <w:left w:val="nil"/>
              <w:bottom w:val="nil"/>
              <w:right w:val="nil"/>
            </w:tcBorders>
            <w:tcMar>
              <w:top w:w="0" w:type="dxa"/>
              <w:left w:w="100" w:type="dxa"/>
              <w:bottom w:w="0" w:type="dxa"/>
              <w:right w:w="100" w:type="dxa"/>
            </w:tcMar>
          </w:tcPr>
          <w:p w14:paraId="6AD7CFA0" w14:textId="77777777" w:rsidR="00340A38" w:rsidRDefault="00000000">
            <w:pPr>
              <w:spacing w:after="0" w:line="240" w:lineRule="auto"/>
              <w:rPr>
                <w:sz w:val="18"/>
                <w:szCs w:val="18"/>
              </w:rPr>
            </w:pPr>
            <w:r>
              <w:rPr>
                <w:sz w:val="18"/>
                <w:szCs w:val="18"/>
              </w:rPr>
              <w:t>0.0258201</w:t>
            </w:r>
            <w:r>
              <w:rPr>
                <w:sz w:val="18"/>
                <w:szCs w:val="18"/>
                <w:vertAlign w:val="superscript"/>
              </w:rPr>
              <w:t>***</w:t>
            </w:r>
          </w:p>
        </w:tc>
      </w:tr>
      <w:tr w:rsidR="00340A38" w14:paraId="24D2B565" w14:textId="77777777">
        <w:trPr>
          <w:trHeight w:val="285"/>
        </w:trPr>
        <w:tc>
          <w:tcPr>
            <w:tcW w:w="1875" w:type="dxa"/>
            <w:tcBorders>
              <w:top w:val="nil"/>
              <w:left w:val="nil"/>
              <w:bottom w:val="nil"/>
              <w:right w:val="nil"/>
            </w:tcBorders>
            <w:tcMar>
              <w:top w:w="0" w:type="dxa"/>
              <w:left w:w="100" w:type="dxa"/>
              <w:bottom w:w="0" w:type="dxa"/>
              <w:right w:w="100" w:type="dxa"/>
            </w:tcMar>
          </w:tcPr>
          <w:p w14:paraId="19FA82F2" w14:textId="77777777" w:rsidR="00340A38" w:rsidRDefault="00340A38">
            <w:pPr>
              <w:spacing w:after="0" w:line="240" w:lineRule="auto"/>
              <w:rPr>
                <w:sz w:val="18"/>
                <w:szCs w:val="18"/>
              </w:rPr>
            </w:pPr>
          </w:p>
        </w:tc>
        <w:tc>
          <w:tcPr>
            <w:tcW w:w="2235" w:type="dxa"/>
            <w:tcBorders>
              <w:top w:val="nil"/>
              <w:left w:val="nil"/>
              <w:bottom w:val="nil"/>
              <w:right w:val="nil"/>
            </w:tcBorders>
            <w:tcMar>
              <w:top w:w="0" w:type="dxa"/>
              <w:left w:w="100" w:type="dxa"/>
              <w:bottom w:w="0" w:type="dxa"/>
              <w:right w:w="100" w:type="dxa"/>
            </w:tcMar>
          </w:tcPr>
          <w:p w14:paraId="3A7E3271" w14:textId="77777777" w:rsidR="00340A38" w:rsidRDefault="00000000">
            <w:pPr>
              <w:spacing w:after="0" w:line="240" w:lineRule="auto"/>
              <w:rPr>
                <w:sz w:val="18"/>
                <w:szCs w:val="18"/>
              </w:rPr>
            </w:pPr>
            <w:r>
              <w:rPr>
                <w:sz w:val="18"/>
                <w:szCs w:val="18"/>
              </w:rPr>
              <w:t>(5.12)</w:t>
            </w:r>
          </w:p>
        </w:tc>
        <w:tc>
          <w:tcPr>
            <w:tcW w:w="2235" w:type="dxa"/>
            <w:tcBorders>
              <w:top w:val="nil"/>
              <w:left w:val="nil"/>
              <w:bottom w:val="nil"/>
              <w:right w:val="nil"/>
            </w:tcBorders>
            <w:tcMar>
              <w:top w:w="0" w:type="dxa"/>
              <w:left w:w="100" w:type="dxa"/>
              <w:bottom w:w="0" w:type="dxa"/>
              <w:right w:w="100" w:type="dxa"/>
            </w:tcMar>
          </w:tcPr>
          <w:p w14:paraId="1661D931" w14:textId="77777777" w:rsidR="00340A38" w:rsidRDefault="00340A38">
            <w:pPr>
              <w:spacing w:after="0" w:line="240" w:lineRule="auto"/>
              <w:rPr>
                <w:sz w:val="18"/>
                <w:szCs w:val="18"/>
              </w:rPr>
            </w:pPr>
          </w:p>
        </w:tc>
        <w:tc>
          <w:tcPr>
            <w:tcW w:w="2235" w:type="dxa"/>
            <w:tcBorders>
              <w:top w:val="nil"/>
              <w:left w:val="nil"/>
              <w:bottom w:val="nil"/>
              <w:right w:val="nil"/>
            </w:tcBorders>
            <w:tcMar>
              <w:top w:w="0" w:type="dxa"/>
              <w:left w:w="100" w:type="dxa"/>
              <w:bottom w:w="0" w:type="dxa"/>
              <w:right w:w="100" w:type="dxa"/>
            </w:tcMar>
          </w:tcPr>
          <w:p w14:paraId="42D5F2DC" w14:textId="77777777" w:rsidR="00340A38" w:rsidRDefault="00000000">
            <w:pPr>
              <w:spacing w:after="0" w:line="240" w:lineRule="auto"/>
              <w:rPr>
                <w:sz w:val="18"/>
                <w:szCs w:val="18"/>
              </w:rPr>
            </w:pPr>
            <w:r>
              <w:rPr>
                <w:sz w:val="18"/>
                <w:szCs w:val="18"/>
              </w:rPr>
              <w:t>(4.03)</w:t>
            </w:r>
          </w:p>
        </w:tc>
      </w:tr>
      <w:tr w:rsidR="00340A38" w14:paraId="4DECC57C" w14:textId="77777777">
        <w:trPr>
          <w:trHeight w:val="240"/>
        </w:trPr>
        <w:tc>
          <w:tcPr>
            <w:tcW w:w="1875" w:type="dxa"/>
            <w:tcBorders>
              <w:top w:val="nil"/>
              <w:left w:val="nil"/>
              <w:bottom w:val="nil"/>
              <w:right w:val="nil"/>
            </w:tcBorders>
            <w:tcMar>
              <w:top w:w="0" w:type="dxa"/>
              <w:left w:w="100" w:type="dxa"/>
              <w:bottom w:w="0" w:type="dxa"/>
              <w:right w:w="100" w:type="dxa"/>
            </w:tcMar>
          </w:tcPr>
          <w:p w14:paraId="4285A481" w14:textId="77777777" w:rsidR="00340A38" w:rsidRDefault="00000000">
            <w:pPr>
              <w:spacing w:after="0" w:line="240" w:lineRule="auto"/>
              <w:rPr>
                <w:sz w:val="18"/>
                <w:szCs w:val="18"/>
              </w:rPr>
            </w:pPr>
            <w:r>
              <w:rPr>
                <w:sz w:val="18"/>
                <w:szCs w:val="18"/>
              </w:rPr>
              <w:t>CON</w:t>
            </w:r>
          </w:p>
        </w:tc>
        <w:tc>
          <w:tcPr>
            <w:tcW w:w="2235" w:type="dxa"/>
            <w:tcBorders>
              <w:top w:val="nil"/>
              <w:left w:val="nil"/>
              <w:bottom w:val="nil"/>
              <w:right w:val="nil"/>
            </w:tcBorders>
            <w:tcMar>
              <w:top w:w="0" w:type="dxa"/>
              <w:left w:w="100" w:type="dxa"/>
              <w:bottom w:w="0" w:type="dxa"/>
              <w:right w:w="100" w:type="dxa"/>
            </w:tcMar>
          </w:tcPr>
          <w:p w14:paraId="1C04C747" w14:textId="77777777" w:rsidR="00340A38" w:rsidRDefault="00000000">
            <w:pPr>
              <w:spacing w:after="0" w:line="240" w:lineRule="auto"/>
              <w:rPr>
                <w:sz w:val="18"/>
                <w:szCs w:val="18"/>
                <w:vertAlign w:val="superscript"/>
              </w:rPr>
            </w:pPr>
            <w:r>
              <w:rPr>
                <w:sz w:val="18"/>
                <w:szCs w:val="18"/>
              </w:rPr>
              <w:t>0.637</w:t>
            </w:r>
            <w:r>
              <w:rPr>
                <w:sz w:val="18"/>
                <w:szCs w:val="18"/>
                <w:vertAlign w:val="superscript"/>
              </w:rPr>
              <w:t>***</w:t>
            </w:r>
          </w:p>
        </w:tc>
        <w:tc>
          <w:tcPr>
            <w:tcW w:w="2235" w:type="dxa"/>
            <w:tcBorders>
              <w:top w:val="nil"/>
              <w:left w:val="nil"/>
              <w:bottom w:val="nil"/>
              <w:right w:val="nil"/>
            </w:tcBorders>
            <w:tcMar>
              <w:top w:w="0" w:type="dxa"/>
              <w:left w:w="100" w:type="dxa"/>
              <w:bottom w:w="0" w:type="dxa"/>
              <w:right w:w="100" w:type="dxa"/>
            </w:tcMar>
          </w:tcPr>
          <w:p w14:paraId="7E5D9D2C" w14:textId="77777777" w:rsidR="00340A38" w:rsidRDefault="00000000">
            <w:pPr>
              <w:spacing w:after="0" w:line="240" w:lineRule="auto"/>
              <w:rPr>
                <w:sz w:val="18"/>
                <w:szCs w:val="18"/>
                <w:vertAlign w:val="superscript"/>
              </w:rPr>
            </w:pPr>
            <w:r>
              <w:rPr>
                <w:sz w:val="18"/>
                <w:szCs w:val="18"/>
              </w:rPr>
              <w:t>1.430</w:t>
            </w:r>
            <w:r>
              <w:rPr>
                <w:sz w:val="18"/>
                <w:szCs w:val="18"/>
                <w:vertAlign w:val="superscript"/>
              </w:rPr>
              <w:t>***</w:t>
            </w:r>
          </w:p>
        </w:tc>
        <w:tc>
          <w:tcPr>
            <w:tcW w:w="2235" w:type="dxa"/>
            <w:tcBorders>
              <w:top w:val="nil"/>
              <w:left w:val="nil"/>
              <w:bottom w:val="nil"/>
              <w:right w:val="nil"/>
            </w:tcBorders>
            <w:tcMar>
              <w:top w:w="0" w:type="dxa"/>
              <w:left w:w="100" w:type="dxa"/>
              <w:bottom w:w="0" w:type="dxa"/>
              <w:right w:w="100" w:type="dxa"/>
            </w:tcMar>
          </w:tcPr>
          <w:p w14:paraId="68638B88" w14:textId="77777777" w:rsidR="00340A38" w:rsidRDefault="00000000">
            <w:pPr>
              <w:spacing w:after="0" w:line="240" w:lineRule="auto"/>
              <w:rPr>
                <w:sz w:val="18"/>
                <w:szCs w:val="18"/>
                <w:vertAlign w:val="superscript"/>
              </w:rPr>
            </w:pPr>
            <w:r>
              <w:rPr>
                <w:sz w:val="18"/>
                <w:szCs w:val="18"/>
              </w:rPr>
              <w:t>1.276</w:t>
            </w:r>
            <w:r>
              <w:rPr>
                <w:sz w:val="18"/>
                <w:szCs w:val="18"/>
                <w:vertAlign w:val="superscript"/>
              </w:rPr>
              <w:t>***</w:t>
            </w:r>
          </w:p>
        </w:tc>
      </w:tr>
      <w:tr w:rsidR="00340A38" w14:paraId="5C07D94B" w14:textId="77777777">
        <w:trPr>
          <w:trHeight w:val="285"/>
        </w:trPr>
        <w:tc>
          <w:tcPr>
            <w:tcW w:w="1875" w:type="dxa"/>
            <w:tcBorders>
              <w:top w:val="nil"/>
              <w:left w:val="nil"/>
              <w:bottom w:val="single" w:sz="6" w:space="0" w:color="000000"/>
              <w:right w:val="nil"/>
            </w:tcBorders>
            <w:tcMar>
              <w:top w:w="0" w:type="dxa"/>
              <w:left w:w="100" w:type="dxa"/>
              <w:bottom w:w="0" w:type="dxa"/>
              <w:right w:w="100" w:type="dxa"/>
            </w:tcMar>
          </w:tcPr>
          <w:p w14:paraId="0F61012A" w14:textId="77777777" w:rsidR="00340A38" w:rsidRDefault="00000000">
            <w:pPr>
              <w:spacing w:after="0" w:line="240" w:lineRule="auto"/>
              <w:rPr>
                <w:sz w:val="18"/>
                <w:szCs w:val="18"/>
              </w:rPr>
            </w:pPr>
            <w:r>
              <w:rPr>
                <w:sz w:val="18"/>
                <w:szCs w:val="18"/>
              </w:rPr>
              <w:t xml:space="preserve"> </w:t>
            </w:r>
          </w:p>
        </w:tc>
        <w:tc>
          <w:tcPr>
            <w:tcW w:w="2235" w:type="dxa"/>
            <w:tcBorders>
              <w:top w:val="nil"/>
              <w:left w:val="nil"/>
              <w:bottom w:val="single" w:sz="6" w:space="0" w:color="000000"/>
              <w:right w:val="nil"/>
            </w:tcBorders>
            <w:tcMar>
              <w:top w:w="0" w:type="dxa"/>
              <w:left w:w="100" w:type="dxa"/>
              <w:bottom w:w="0" w:type="dxa"/>
              <w:right w:w="100" w:type="dxa"/>
            </w:tcMar>
          </w:tcPr>
          <w:p w14:paraId="177656F1" w14:textId="77777777" w:rsidR="00340A38" w:rsidRDefault="00000000">
            <w:pPr>
              <w:spacing w:after="0" w:line="240" w:lineRule="auto"/>
              <w:rPr>
                <w:sz w:val="18"/>
                <w:szCs w:val="18"/>
              </w:rPr>
            </w:pPr>
            <w:r>
              <w:rPr>
                <w:sz w:val="18"/>
                <w:szCs w:val="18"/>
              </w:rPr>
              <w:t>(23.24)</w:t>
            </w:r>
          </w:p>
        </w:tc>
        <w:tc>
          <w:tcPr>
            <w:tcW w:w="2235" w:type="dxa"/>
            <w:tcBorders>
              <w:top w:val="nil"/>
              <w:left w:val="nil"/>
              <w:bottom w:val="single" w:sz="6" w:space="0" w:color="000000"/>
              <w:right w:val="nil"/>
            </w:tcBorders>
            <w:tcMar>
              <w:top w:w="0" w:type="dxa"/>
              <w:left w:w="100" w:type="dxa"/>
              <w:bottom w:w="0" w:type="dxa"/>
              <w:right w:w="100" w:type="dxa"/>
            </w:tcMar>
          </w:tcPr>
          <w:p w14:paraId="31F2153F" w14:textId="77777777" w:rsidR="00340A38" w:rsidRDefault="00000000">
            <w:pPr>
              <w:spacing w:after="0" w:line="240" w:lineRule="auto"/>
              <w:rPr>
                <w:sz w:val="18"/>
                <w:szCs w:val="18"/>
              </w:rPr>
            </w:pPr>
            <w:r>
              <w:rPr>
                <w:sz w:val="18"/>
                <w:szCs w:val="18"/>
              </w:rPr>
              <w:t>(47.10)</w:t>
            </w:r>
          </w:p>
        </w:tc>
        <w:tc>
          <w:tcPr>
            <w:tcW w:w="2235" w:type="dxa"/>
            <w:tcBorders>
              <w:top w:val="nil"/>
              <w:left w:val="nil"/>
              <w:bottom w:val="single" w:sz="6" w:space="0" w:color="000000"/>
              <w:right w:val="nil"/>
            </w:tcBorders>
            <w:tcMar>
              <w:top w:w="0" w:type="dxa"/>
              <w:left w:w="100" w:type="dxa"/>
              <w:bottom w:w="0" w:type="dxa"/>
              <w:right w:w="100" w:type="dxa"/>
            </w:tcMar>
          </w:tcPr>
          <w:p w14:paraId="2F25E67B" w14:textId="77777777" w:rsidR="00340A38" w:rsidRDefault="00000000">
            <w:pPr>
              <w:spacing w:after="0" w:line="240" w:lineRule="auto"/>
              <w:rPr>
                <w:sz w:val="18"/>
                <w:szCs w:val="18"/>
              </w:rPr>
            </w:pPr>
            <w:r>
              <w:rPr>
                <w:sz w:val="18"/>
                <w:szCs w:val="18"/>
              </w:rPr>
              <w:t>(44.90)</w:t>
            </w:r>
          </w:p>
        </w:tc>
      </w:tr>
      <w:tr w:rsidR="00340A38" w14:paraId="1E068278" w14:textId="77777777">
        <w:trPr>
          <w:trHeight w:val="255"/>
        </w:trPr>
        <w:tc>
          <w:tcPr>
            <w:tcW w:w="1875" w:type="dxa"/>
            <w:tcBorders>
              <w:top w:val="nil"/>
              <w:left w:val="nil"/>
              <w:bottom w:val="nil"/>
              <w:right w:val="nil"/>
            </w:tcBorders>
            <w:tcMar>
              <w:top w:w="0" w:type="dxa"/>
              <w:left w:w="100" w:type="dxa"/>
              <w:bottom w:w="0" w:type="dxa"/>
              <w:right w:w="100" w:type="dxa"/>
            </w:tcMar>
          </w:tcPr>
          <w:p w14:paraId="3427FF91" w14:textId="77777777" w:rsidR="00340A38" w:rsidRDefault="00000000">
            <w:pPr>
              <w:spacing w:after="0" w:line="240" w:lineRule="auto"/>
              <w:rPr>
                <w:sz w:val="18"/>
                <w:szCs w:val="18"/>
              </w:rPr>
            </w:pPr>
            <w:r>
              <w:rPr>
                <w:sz w:val="18"/>
                <w:szCs w:val="18"/>
              </w:rPr>
              <w:t>N</w:t>
            </w:r>
          </w:p>
        </w:tc>
        <w:tc>
          <w:tcPr>
            <w:tcW w:w="2235" w:type="dxa"/>
            <w:tcBorders>
              <w:top w:val="nil"/>
              <w:left w:val="nil"/>
              <w:bottom w:val="nil"/>
              <w:right w:val="nil"/>
            </w:tcBorders>
            <w:tcMar>
              <w:top w:w="0" w:type="dxa"/>
              <w:left w:w="100" w:type="dxa"/>
              <w:bottom w:w="0" w:type="dxa"/>
              <w:right w:w="100" w:type="dxa"/>
            </w:tcMar>
          </w:tcPr>
          <w:p w14:paraId="7D843809" w14:textId="77777777" w:rsidR="00340A38" w:rsidRDefault="00000000">
            <w:pPr>
              <w:spacing w:after="0" w:line="240" w:lineRule="auto"/>
              <w:rPr>
                <w:sz w:val="18"/>
                <w:szCs w:val="18"/>
              </w:rPr>
            </w:pPr>
            <w:r>
              <w:rPr>
                <w:sz w:val="18"/>
                <w:szCs w:val="18"/>
              </w:rPr>
              <w:t>7405</w:t>
            </w:r>
          </w:p>
        </w:tc>
        <w:tc>
          <w:tcPr>
            <w:tcW w:w="2235" w:type="dxa"/>
            <w:tcBorders>
              <w:top w:val="nil"/>
              <w:left w:val="nil"/>
              <w:bottom w:val="nil"/>
              <w:right w:val="nil"/>
            </w:tcBorders>
            <w:tcMar>
              <w:top w:w="0" w:type="dxa"/>
              <w:left w:w="100" w:type="dxa"/>
              <w:bottom w:w="0" w:type="dxa"/>
              <w:right w:w="100" w:type="dxa"/>
            </w:tcMar>
          </w:tcPr>
          <w:p w14:paraId="5466B3B8" w14:textId="77777777" w:rsidR="00340A38" w:rsidRDefault="00000000">
            <w:pPr>
              <w:spacing w:after="0" w:line="240" w:lineRule="auto"/>
              <w:rPr>
                <w:sz w:val="18"/>
                <w:szCs w:val="18"/>
              </w:rPr>
            </w:pPr>
            <w:r>
              <w:rPr>
                <w:sz w:val="18"/>
                <w:szCs w:val="18"/>
              </w:rPr>
              <w:t>7405</w:t>
            </w:r>
          </w:p>
        </w:tc>
        <w:tc>
          <w:tcPr>
            <w:tcW w:w="2235" w:type="dxa"/>
            <w:tcBorders>
              <w:top w:val="nil"/>
              <w:left w:val="nil"/>
              <w:bottom w:val="nil"/>
              <w:right w:val="nil"/>
            </w:tcBorders>
            <w:tcMar>
              <w:top w:w="0" w:type="dxa"/>
              <w:left w:w="100" w:type="dxa"/>
              <w:bottom w:w="0" w:type="dxa"/>
              <w:right w:w="100" w:type="dxa"/>
            </w:tcMar>
          </w:tcPr>
          <w:p w14:paraId="03097CD4" w14:textId="77777777" w:rsidR="00340A38" w:rsidRDefault="00000000">
            <w:pPr>
              <w:spacing w:after="0" w:line="240" w:lineRule="auto"/>
              <w:rPr>
                <w:sz w:val="18"/>
                <w:szCs w:val="18"/>
              </w:rPr>
            </w:pPr>
            <w:r>
              <w:rPr>
                <w:sz w:val="18"/>
                <w:szCs w:val="18"/>
              </w:rPr>
              <w:t>7405</w:t>
            </w:r>
          </w:p>
        </w:tc>
      </w:tr>
      <w:tr w:rsidR="00340A38" w14:paraId="3E56AF52" w14:textId="77777777">
        <w:trPr>
          <w:trHeight w:val="255"/>
        </w:trPr>
        <w:tc>
          <w:tcPr>
            <w:tcW w:w="1875" w:type="dxa"/>
            <w:tcBorders>
              <w:top w:val="nil"/>
              <w:left w:val="nil"/>
              <w:bottom w:val="nil"/>
              <w:right w:val="nil"/>
            </w:tcBorders>
            <w:tcMar>
              <w:top w:w="0" w:type="dxa"/>
              <w:left w:w="100" w:type="dxa"/>
              <w:bottom w:w="0" w:type="dxa"/>
              <w:right w:w="100" w:type="dxa"/>
            </w:tcMar>
          </w:tcPr>
          <w:p w14:paraId="7AC80AF0" w14:textId="77777777" w:rsidR="00340A38" w:rsidRDefault="00000000">
            <w:pPr>
              <w:spacing w:after="0" w:line="240" w:lineRule="auto"/>
              <w:rPr>
                <w:sz w:val="18"/>
                <w:szCs w:val="18"/>
                <w:vertAlign w:val="superscript"/>
              </w:rPr>
            </w:pPr>
            <w:r>
              <w:rPr>
                <w:sz w:val="18"/>
                <w:szCs w:val="18"/>
              </w:rPr>
              <w:t>adj. R</w:t>
            </w:r>
            <w:r>
              <w:rPr>
                <w:sz w:val="18"/>
                <w:szCs w:val="18"/>
                <w:vertAlign w:val="superscript"/>
              </w:rPr>
              <w:t>2</w:t>
            </w:r>
          </w:p>
        </w:tc>
        <w:tc>
          <w:tcPr>
            <w:tcW w:w="2235" w:type="dxa"/>
            <w:tcBorders>
              <w:top w:val="nil"/>
              <w:left w:val="nil"/>
              <w:bottom w:val="nil"/>
              <w:right w:val="nil"/>
            </w:tcBorders>
            <w:tcMar>
              <w:top w:w="0" w:type="dxa"/>
              <w:left w:w="100" w:type="dxa"/>
              <w:bottom w:w="0" w:type="dxa"/>
              <w:right w:w="100" w:type="dxa"/>
            </w:tcMar>
          </w:tcPr>
          <w:p w14:paraId="675885C2" w14:textId="77777777" w:rsidR="00340A38" w:rsidRDefault="00000000">
            <w:pPr>
              <w:spacing w:after="0" w:line="240" w:lineRule="auto"/>
              <w:rPr>
                <w:sz w:val="18"/>
                <w:szCs w:val="18"/>
              </w:rPr>
            </w:pPr>
            <w:r>
              <w:rPr>
                <w:sz w:val="18"/>
                <w:szCs w:val="18"/>
              </w:rPr>
              <w:t>0.8624</w:t>
            </w:r>
          </w:p>
        </w:tc>
        <w:tc>
          <w:tcPr>
            <w:tcW w:w="2235" w:type="dxa"/>
            <w:tcBorders>
              <w:top w:val="nil"/>
              <w:left w:val="nil"/>
              <w:bottom w:val="nil"/>
              <w:right w:val="nil"/>
            </w:tcBorders>
            <w:tcMar>
              <w:top w:w="0" w:type="dxa"/>
              <w:left w:w="100" w:type="dxa"/>
              <w:bottom w:w="0" w:type="dxa"/>
              <w:right w:w="100" w:type="dxa"/>
            </w:tcMar>
          </w:tcPr>
          <w:p w14:paraId="4A1044F5" w14:textId="77777777" w:rsidR="00340A38" w:rsidRDefault="00000000">
            <w:pPr>
              <w:spacing w:after="0" w:line="240" w:lineRule="auto"/>
              <w:rPr>
                <w:sz w:val="18"/>
                <w:szCs w:val="18"/>
              </w:rPr>
            </w:pPr>
            <w:r>
              <w:rPr>
                <w:sz w:val="18"/>
                <w:szCs w:val="18"/>
              </w:rPr>
              <w:t>0.887</w:t>
            </w:r>
          </w:p>
        </w:tc>
        <w:tc>
          <w:tcPr>
            <w:tcW w:w="2235" w:type="dxa"/>
            <w:tcBorders>
              <w:top w:val="nil"/>
              <w:left w:val="nil"/>
              <w:bottom w:val="nil"/>
              <w:right w:val="nil"/>
            </w:tcBorders>
            <w:tcMar>
              <w:top w:w="0" w:type="dxa"/>
              <w:left w:w="100" w:type="dxa"/>
              <w:bottom w:w="0" w:type="dxa"/>
              <w:right w:w="100" w:type="dxa"/>
            </w:tcMar>
          </w:tcPr>
          <w:p w14:paraId="6D3250E7" w14:textId="77777777" w:rsidR="00340A38" w:rsidRDefault="00000000">
            <w:pPr>
              <w:spacing w:after="0" w:line="240" w:lineRule="auto"/>
              <w:rPr>
                <w:sz w:val="18"/>
                <w:szCs w:val="18"/>
              </w:rPr>
            </w:pPr>
            <w:r>
              <w:rPr>
                <w:sz w:val="18"/>
                <w:szCs w:val="18"/>
              </w:rPr>
              <w:t xml:space="preserve"> </w:t>
            </w:r>
          </w:p>
        </w:tc>
      </w:tr>
      <w:tr w:rsidR="00340A38" w14:paraId="601D8312" w14:textId="77777777">
        <w:trPr>
          <w:trHeight w:val="285"/>
        </w:trPr>
        <w:tc>
          <w:tcPr>
            <w:tcW w:w="1875" w:type="dxa"/>
            <w:tcBorders>
              <w:top w:val="nil"/>
              <w:left w:val="nil"/>
              <w:bottom w:val="nil"/>
              <w:right w:val="nil"/>
            </w:tcBorders>
            <w:tcMar>
              <w:top w:w="0" w:type="dxa"/>
              <w:left w:w="100" w:type="dxa"/>
              <w:bottom w:w="0" w:type="dxa"/>
              <w:right w:w="100" w:type="dxa"/>
            </w:tcMar>
          </w:tcPr>
          <w:p w14:paraId="1E90AAF1" w14:textId="77777777" w:rsidR="00340A38" w:rsidRDefault="00000000">
            <w:pPr>
              <w:spacing w:after="0" w:line="240" w:lineRule="auto"/>
              <w:rPr>
                <w:sz w:val="18"/>
                <w:szCs w:val="18"/>
              </w:rPr>
            </w:pPr>
            <w:r>
              <w:rPr>
                <w:sz w:val="18"/>
                <w:szCs w:val="18"/>
              </w:rPr>
              <w:t>Industry Fe</w:t>
            </w:r>
          </w:p>
          <w:p w14:paraId="2EFAA456" w14:textId="77777777" w:rsidR="00340A38" w:rsidRDefault="00000000">
            <w:pPr>
              <w:spacing w:after="0" w:line="240" w:lineRule="auto"/>
              <w:rPr>
                <w:sz w:val="18"/>
                <w:szCs w:val="18"/>
              </w:rPr>
            </w:pPr>
            <w:r>
              <w:rPr>
                <w:sz w:val="18"/>
                <w:szCs w:val="18"/>
              </w:rPr>
              <w:t>Firm Fe</w:t>
            </w:r>
          </w:p>
        </w:tc>
        <w:tc>
          <w:tcPr>
            <w:tcW w:w="2235" w:type="dxa"/>
            <w:tcBorders>
              <w:top w:val="nil"/>
              <w:left w:val="nil"/>
              <w:bottom w:val="nil"/>
              <w:right w:val="nil"/>
            </w:tcBorders>
            <w:tcMar>
              <w:top w:w="0" w:type="dxa"/>
              <w:left w:w="100" w:type="dxa"/>
              <w:bottom w:w="0" w:type="dxa"/>
              <w:right w:w="100" w:type="dxa"/>
            </w:tcMar>
          </w:tcPr>
          <w:p w14:paraId="607F4757" w14:textId="77777777" w:rsidR="00340A38" w:rsidRDefault="00000000">
            <w:pPr>
              <w:spacing w:after="0" w:line="240" w:lineRule="auto"/>
              <w:rPr>
                <w:sz w:val="18"/>
                <w:szCs w:val="18"/>
              </w:rPr>
            </w:pPr>
            <w:r>
              <w:rPr>
                <w:sz w:val="18"/>
                <w:szCs w:val="18"/>
              </w:rPr>
              <w:t xml:space="preserve"> No</w:t>
            </w:r>
          </w:p>
          <w:p w14:paraId="0DE0B51E" w14:textId="77777777" w:rsidR="00340A38" w:rsidRDefault="00000000">
            <w:pPr>
              <w:spacing w:after="0" w:line="240" w:lineRule="auto"/>
              <w:rPr>
                <w:sz w:val="18"/>
                <w:szCs w:val="18"/>
              </w:rPr>
            </w:pPr>
            <w:r>
              <w:rPr>
                <w:sz w:val="18"/>
                <w:szCs w:val="18"/>
              </w:rPr>
              <w:t xml:space="preserve"> No</w:t>
            </w:r>
          </w:p>
        </w:tc>
        <w:tc>
          <w:tcPr>
            <w:tcW w:w="2235" w:type="dxa"/>
            <w:tcBorders>
              <w:top w:val="nil"/>
              <w:left w:val="nil"/>
              <w:bottom w:val="nil"/>
              <w:right w:val="nil"/>
            </w:tcBorders>
            <w:tcMar>
              <w:top w:w="0" w:type="dxa"/>
              <w:left w:w="100" w:type="dxa"/>
              <w:bottom w:w="0" w:type="dxa"/>
              <w:right w:w="100" w:type="dxa"/>
            </w:tcMar>
          </w:tcPr>
          <w:p w14:paraId="0090F195" w14:textId="77777777" w:rsidR="00340A38" w:rsidRDefault="00000000">
            <w:pPr>
              <w:spacing w:after="0" w:line="240" w:lineRule="auto"/>
              <w:rPr>
                <w:sz w:val="18"/>
                <w:szCs w:val="18"/>
              </w:rPr>
            </w:pPr>
            <w:r>
              <w:rPr>
                <w:sz w:val="18"/>
                <w:szCs w:val="18"/>
              </w:rPr>
              <w:t xml:space="preserve"> Yes</w:t>
            </w:r>
          </w:p>
          <w:p w14:paraId="53907EA6" w14:textId="77777777" w:rsidR="00340A38" w:rsidRDefault="00000000">
            <w:pPr>
              <w:spacing w:after="0" w:line="240" w:lineRule="auto"/>
              <w:rPr>
                <w:sz w:val="18"/>
                <w:szCs w:val="18"/>
              </w:rPr>
            </w:pPr>
            <w:r>
              <w:rPr>
                <w:sz w:val="18"/>
                <w:szCs w:val="18"/>
              </w:rPr>
              <w:t xml:space="preserve"> Yes</w:t>
            </w:r>
          </w:p>
        </w:tc>
        <w:tc>
          <w:tcPr>
            <w:tcW w:w="2235" w:type="dxa"/>
            <w:tcBorders>
              <w:top w:val="nil"/>
              <w:left w:val="nil"/>
              <w:bottom w:val="nil"/>
              <w:right w:val="nil"/>
            </w:tcBorders>
            <w:tcMar>
              <w:top w:w="0" w:type="dxa"/>
              <w:left w:w="100" w:type="dxa"/>
              <w:bottom w:w="0" w:type="dxa"/>
              <w:right w:w="100" w:type="dxa"/>
            </w:tcMar>
          </w:tcPr>
          <w:p w14:paraId="695795DF" w14:textId="77777777" w:rsidR="00340A38" w:rsidRDefault="00000000">
            <w:pPr>
              <w:spacing w:after="0" w:line="240" w:lineRule="auto"/>
              <w:rPr>
                <w:sz w:val="18"/>
                <w:szCs w:val="18"/>
              </w:rPr>
            </w:pPr>
            <w:r>
              <w:rPr>
                <w:sz w:val="18"/>
                <w:szCs w:val="18"/>
              </w:rPr>
              <w:t xml:space="preserve"> </w:t>
            </w:r>
          </w:p>
        </w:tc>
      </w:tr>
      <w:tr w:rsidR="00340A38" w14:paraId="4F554556" w14:textId="77777777">
        <w:trPr>
          <w:trHeight w:val="285"/>
        </w:trPr>
        <w:tc>
          <w:tcPr>
            <w:tcW w:w="1875" w:type="dxa"/>
            <w:tcBorders>
              <w:top w:val="nil"/>
              <w:left w:val="nil"/>
              <w:bottom w:val="single" w:sz="6" w:space="0" w:color="000000"/>
              <w:right w:val="nil"/>
            </w:tcBorders>
            <w:tcMar>
              <w:top w:w="0" w:type="dxa"/>
              <w:left w:w="100" w:type="dxa"/>
              <w:bottom w:w="0" w:type="dxa"/>
              <w:right w:w="100" w:type="dxa"/>
            </w:tcMar>
          </w:tcPr>
          <w:p w14:paraId="673A3B6E" w14:textId="77777777" w:rsidR="00340A38" w:rsidRDefault="00000000">
            <w:pPr>
              <w:spacing w:after="0" w:line="240" w:lineRule="auto"/>
              <w:rPr>
                <w:sz w:val="18"/>
                <w:szCs w:val="18"/>
              </w:rPr>
            </w:pPr>
            <w:r>
              <w:rPr>
                <w:sz w:val="18"/>
                <w:szCs w:val="18"/>
              </w:rPr>
              <w:t>Year Fe</w:t>
            </w:r>
          </w:p>
        </w:tc>
        <w:tc>
          <w:tcPr>
            <w:tcW w:w="2235" w:type="dxa"/>
            <w:tcBorders>
              <w:top w:val="nil"/>
              <w:left w:val="nil"/>
              <w:bottom w:val="single" w:sz="6" w:space="0" w:color="000000"/>
              <w:right w:val="nil"/>
            </w:tcBorders>
            <w:tcMar>
              <w:top w:w="0" w:type="dxa"/>
              <w:left w:w="100" w:type="dxa"/>
              <w:bottom w:w="0" w:type="dxa"/>
              <w:right w:w="100" w:type="dxa"/>
            </w:tcMar>
          </w:tcPr>
          <w:p w14:paraId="4006C866" w14:textId="77777777" w:rsidR="00340A38" w:rsidRDefault="00000000">
            <w:pPr>
              <w:spacing w:after="0" w:line="240" w:lineRule="auto"/>
              <w:rPr>
                <w:sz w:val="18"/>
                <w:szCs w:val="18"/>
              </w:rPr>
            </w:pPr>
            <w:r>
              <w:rPr>
                <w:sz w:val="18"/>
                <w:szCs w:val="18"/>
              </w:rPr>
              <w:t xml:space="preserve"> No</w:t>
            </w:r>
          </w:p>
        </w:tc>
        <w:tc>
          <w:tcPr>
            <w:tcW w:w="2235" w:type="dxa"/>
            <w:tcBorders>
              <w:top w:val="nil"/>
              <w:left w:val="nil"/>
              <w:bottom w:val="single" w:sz="6" w:space="0" w:color="000000"/>
              <w:right w:val="nil"/>
            </w:tcBorders>
            <w:tcMar>
              <w:top w:w="0" w:type="dxa"/>
              <w:left w:w="100" w:type="dxa"/>
              <w:bottom w:w="0" w:type="dxa"/>
              <w:right w:w="100" w:type="dxa"/>
            </w:tcMar>
          </w:tcPr>
          <w:p w14:paraId="5F42B7EF" w14:textId="77777777" w:rsidR="00340A38" w:rsidRDefault="00000000">
            <w:pPr>
              <w:spacing w:after="0" w:line="240" w:lineRule="auto"/>
              <w:rPr>
                <w:sz w:val="18"/>
                <w:szCs w:val="18"/>
              </w:rPr>
            </w:pPr>
            <w:r>
              <w:rPr>
                <w:sz w:val="18"/>
                <w:szCs w:val="18"/>
              </w:rPr>
              <w:t xml:space="preserve"> Yes</w:t>
            </w:r>
          </w:p>
        </w:tc>
        <w:tc>
          <w:tcPr>
            <w:tcW w:w="2235" w:type="dxa"/>
            <w:tcBorders>
              <w:top w:val="nil"/>
              <w:left w:val="nil"/>
              <w:bottom w:val="single" w:sz="6" w:space="0" w:color="000000"/>
              <w:right w:val="nil"/>
            </w:tcBorders>
            <w:tcMar>
              <w:top w:w="0" w:type="dxa"/>
              <w:left w:w="100" w:type="dxa"/>
              <w:bottom w:w="0" w:type="dxa"/>
              <w:right w:w="100" w:type="dxa"/>
            </w:tcMar>
          </w:tcPr>
          <w:p w14:paraId="1D974596" w14:textId="77777777" w:rsidR="00340A38" w:rsidRDefault="00340A38">
            <w:pPr>
              <w:spacing w:after="0" w:line="240" w:lineRule="auto"/>
              <w:rPr>
                <w:sz w:val="18"/>
                <w:szCs w:val="18"/>
              </w:rPr>
            </w:pPr>
          </w:p>
        </w:tc>
      </w:tr>
    </w:tbl>
    <w:p w14:paraId="1551D6C7" w14:textId="77777777" w:rsidR="00340A38" w:rsidRDefault="00000000">
      <w:pPr>
        <w:spacing w:after="0"/>
        <w:rPr>
          <w:sz w:val="18"/>
          <w:szCs w:val="18"/>
        </w:rPr>
      </w:pPr>
      <w:r>
        <w:rPr>
          <w:sz w:val="18"/>
          <w:szCs w:val="18"/>
        </w:rPr>
        <w:t>t statistics in parentheses</w:t>
      </w:r>
    </w:p>
    <w:p w14:paraId="7FA93E4C" w14:textId="77777777" w:rsidR="00340A38" w:rsidRDefault="00000000">
      <w:pPr>
        <w:spacing w:after="0"/>
        <w:rPr>
          <w:sz w:val="18"/>
          <w:szCs w:val="18"/>
        </w:rPr>
      </w:pPr>
      <w:r>
        <w:rPr>
          <w:sz w:val="18"/>
          <w:szCs w:val="18"/>
          <w:vertAlign w:val="superscript"/>
        </w:rPr>
        <w:t>*</w:t>
      </w:r>
      <w:r>
        <w:rPr>
          <w:sz w:val="18"/>
          <w:szCs w:val="18"/>
        </w:rPr>
        <w:t xml:space="preserve"> p &lt; .1, </w:t>
      </w:r>
      <w:r>
        <w:rPr>
          <w:sz w:val="18"/>
          <w:szCs w:val="18"/>
          <w:vertAlign w:val="superscript"/>
        </w:rPr>
        <w:t>**</w:t>
      </w:r>
      <w:r>
        <w:rPr>
          <w:sz w:val="18"/>
          <w:szCs w:val="18"/>
        </w:rPr>
        <w:t xml:space="preserve"> p &lt; .05, </w:t>
      </w:r>
      <w:r>
        <w:rPr>
          <w:sz w:val="18"/>
          <w:szCs w:val="18"/>
          <w:vertAlign w:val="superscript"/>
        </w:rPr>
        <w:t>***</w:t>
      </w:r>
      <w:r>
        <w:rPr>
          <w:sz w:val="18"/>
          <w:szCs w:val="18"/>
        </w:rPr>
        <w:t xml:space="preserve"> p &lt; .01</w:t>
      </w:r>
    </w:p>
    <w:p w14:paraId="1AC7D7AE" w14:textId="77777777" w:rsidR="00340A38" w:rsidRDefault="00000000">
      <w:pPr>
        <w:spacing w:before="200" w:line="480" w:lineRule="auto"/>
        <w:jc w:val="both"/>
      </w:pPr>
      <w:r>
        <w:t xml:space="preserve">To further compare the influence of CEOs and Institutional investors, we conduct hypothesis testing. Based on the result shown in Table 5, the influence of the CEO is significantly larger than that of institutional investors, which is aligned with our primary hypothesis. Though active investors own more participant power than passive ones, they are more vulnerable to CEOs’ influence. Proxy contesting exists that institutional investors may vote with management to avoid penalty (Pound, 1988). However, based on our results, institutional investors persisted in their interest in maximizing shareholders’ wealth, but this influence may be smaller than that of CEOs. </w:t>
      </w:r>
    </w:p>
    <w:tbl>
      <w:tblPr>
        <w:tblStyle w:val="aa"/>
        <w:tblW w:w="7545" w:type="dxa"/>
        <w:tblBorders>
          <w:top w:val="nil"/>
          <w:left w:val="nil"/>
          <w:bottom w:val="nil"/>
          <w:right w:val="nil"/>
          <w:insideH w:val="nil"/>
          <w:insideV w:val="nil"/>
        </w:tblBorders>
        <w:tblLayout w:type="fixed"/>
        <w:tblLook w:val="0600" w:firstRow="0" w:lastRow="0" w:firstColumn="0" w:lastColumn="0" w:noHBand="1" w:noVBand="1"/>
      </w:tblPr>
      <w:tblGrid>
        <w:gridCol w:w="1455"/>
        <w:gridCol w:w="1215"/>
        <w:gridCol w:w="870"/>
        <w:gridCol w:w="870"/>
        <w:gridCol w:w="1920"/>
        <w:gridCol w:w="1215"/>
      </w:tblGrid>
      <w:tr w:rsidR="00340A38" w14:paraId="7BC0D43A" w14:textId="77777777">
        <w:trPr>
          <w:trHeight w:val="375"/>
        </w:trPr>
        <w:tc>
          <w:tcPr>
            <w:tcW w:w="2670" w:type="dxa"/>
            <w:gridSpan w:val="2"/>
            <w:tcBorders>
              <w:top w:val="nil"/>
              <w:left w:val="nil"/>
              <w:bottom w:val="nil"/>
              <w:right w:val="nil"/>
            </w:tcBorders>
            <w:tcMar>
              <w:top w:w="20" w:type="dxa"/>
              <w:left w:w="20" w:type="dxa"/>
              <w:bottom w:w="100" w:type="dxa"/>
              <w:right w:w="20" w:type="dxa"/>
            </w:tcMar>
            <w:vAlign w:val="center"/>
          </w:tcPr>
          <w:p w14:paraId="7FAA019A" w14:textId="77777777" w:rsidR="00340A38" w:rsidRDefault="00000000">
            <w:pPr>
              <w:spacing w:after="0" w:line="240" w:lineRule="auto"/>
              <w:rPr>
                <w:b/>
                <w:sz w:val="18"/>
                <w:szCs w:val="18"/>
              </w:rPr>
            </w:pPr>
            <w:r>
              <w:rPr>
                <w:b/>
                <w:sz w:val="18"/>
                <w:szCs w:val="18"/>
              </w:rPr>
              <w:t>Table 5</w:t>
            </w:r>
          </w:p>
          <w:p w14:paraId="380C7784" w14:textId="77777777" w:rsidR="00340A38" w:rsidRDefault="00000000">
            <w:pPr>
              <w:spacing w:after="0" w:line="240" w:lineRule="auto"/>
              <w:rPr>
                <w:b/>
                <w:sz w:val="18"/>
                <w:szCs w:val="18"/>
              </w:rPr>
            </w:pPr>
            <w:r>
              <w:rPr>
                <w:b/>
                <w:sz w:val="18"/>
                <w:szCs w:val="18"/>
              </w:rPr>
              <w:t>H0: CEO2 - IACT = 0</w:t>
            </w:r>
          </w:p>
        </w:tc>
        <w:tc>
          <w:tcPr>
            <w:tcW w:w="870" w:type="dxa"/>
            <w:tcBorders>
              <w:top w:val="nil"/>
              <w:left w:val="nil"/>
              <w:bottom w:val="nil"/>
              <w:right w:val="nil"/>
            </w:tcBorders>
            <w:tcMar>
              <w:top w:w="20" w:type="dxa"/>
              <w:left w:w="20" w:type="dxa"/>
              <w:bottom w:w="100" w:type="dxa"/>
              <w:right w:w="20" w:type="dxa"/>
            </w:tcMar>
            <w:vAlign w:val="center"/>
          </w:tcPr>
          <w:p w14:paraId="5151E57C" w14:textId="77777777" w:rsidR="00340A38" w:rsidRDefault="00340A38">
            <w:pPr>
              <w:spacing w:after="0" w:line="240" w:lineRule="auto"/>
              <w:rPr>
                <w:sz w:val="18"/>
                <w:szCs w:val="18"/>
              </w:rPr>
            </w:pPr>
          </w:p>
        </w:tc>
        <w:tc>
          <w:tcPr>
            <w:tcW w:w="870" w:type="dxa"/>
            <w:tcBorders>
              <w:top w:val="nil"/>
              <w:left w:val="nil"/>
              <w:bottom w:val="nil"/>
              <w:right w:val="nil"/>
            </w:tcBorders>
            <w:tcMar>
              <w:top w:w="20" w:type="dxa"/>
              <w:left w:w="20" w:type="dxa"/>
              <w:bottom w:w="100" w:type="dxa"/>
              <w:right w:w="20" w:type="dxa"/>
            </w:tcMar>
            <w:vAlign w:val="center"/>
          </w:tcPr>
          <w:p w14:paraId="4DDD9A6A" w14:textId="77777777" w:rsidR="00340A38" w:rsidRDefault="00340A38">
            <w:pPr>
              <w:spacing w:after="0" w:line="240" w:lineRule="auto"/>
              <w:rPr>
                <w:sz w:val="18"/>
                <w:szCs w:val="18"/>
              </w:rPr>
            </w:pPr>
          </w:p>
        </w:tc>
        <w:tc>
          <w:tcPr>
            <w:tcW w:w="1920" w:type="dxa"/>
            <w:tcBorders>
              <w:top w:val="nil"/>
              <w:left w:val="nil"/>
              <w:bottom w:val="nil"/>
              <w:right w:val="nil"/>
            </w:tcBorders>
            <w:tcMar>
              <w:top w:w="20" w:type="dxa"/>
              <w:left w:w="20" w:type="dxa"/>
              <w:bottom w:w="100" w:type="dxa"/>
              <w:right w:w="20" w:type="dxa"/>
            </w:tcMar>
            <w:vAlign w:val="center"/>
          </w:tcPr>
          <w:p w14:paraId="4979C294" w14:textId="77777777" w:rsidR="00340A38" w:rsidRDefault="00340A38">
            <w:pPr>
              <w:spacing w:after="0" w:line="240" w:lineRule="auto"/>
              <w:rPr>
                <w:sz w:val="18"/>
                <w:szCs w:val="18"/>
              </w:rPr>
            </w:pPr>
          </w:p>
        </w:tc>
        <w:tc>
          <w:tcPr>
            <w:tcW w:w="1215" w:type="dxa"/>
            <w:tcBorders>
              <w:top w:val="nil"/>
              <w:left w:val="nil"/>
              <w:bottom w:val="nil"/>
              <w:right w:val="nil"/>
            </w:tcBorders>
            <w:tcMar>
              <w:top w:w="20" w:type="dxa"/>
              <w:left w:w="20" w:type="dxa"/>
              <w:bottom w:w="100" w:type="dxa"/>
              <w:right w:w="20" w:type="dxa"/>
            </w:tcMar>
            <w:vAlign w:val="center"/>
          </w:tcPr>
          <w:p w14:paraId="5F2A7B16" w14:textId="77777777" w:rsidR="00340A38" w:rsidRDefault="00340A38">
            <w:pPr>
              <w:spacing w:after="0" w:line="240" w:lineRule="auto"/>
              <w:rPr>
                <w:sz w:val="18"/>
                <w:szCs w:val="18"/>
              </w:rPr>
            </w:pPr>
          </w:p>
        </w:tc>
      </w:tr>
      <w:tr w:rsidR="00340A38" w14:paraId="6497DFCF" w14:textId="77777777">
        <w:trPr>
          <w:trHeight w:val="360"/>
        </w:trPr>
        <w:tc>
          <w:tcPr>
            <w:tcW w:w="1455" w:type="dxa"/>
            <w:tcBorders>
              <w:top w:val="single" w:sz="3" w:space="0" w:color="000000"/>
              <w:left w:val="nil"/>
              <w:bottom w:val="single" w:sz="3" w:space="0" w:color="000000"/>
              <w:right w:val="nil"/>
            </w:tcBorders>
            <w:tcMar>
              <w:top w:w="20" w:type="dxa"/>
              <w:left w:w="20" w:type="dxa"/>
              <w:bottom w:w="100" w:type="dxa"/>
              <w:right w:w="20" w:type="dxa"/>
            </w:tcMar>
            <w:vAlign w:val="center"/>
          </w:tcPr>
          <w:p w14:paraId="2F9AC216" w14:textId="77777777" w:rsidR="00340A38" w:rsidRDefault="00000000">
            <w:pPr>
              <w:spacing w:after="0" w:line="240" w:lineRule="auto"/>
              <w:rPr>
                <w:sz w:val="18"/>
                <w:szCs w:val="18"/>
              </w:rPr>
            </w:pPr>
            <w:r>
              <w:rPr>
                <w:sz w:val="18"/>
                <w:szCs w:val="18"/>
              </w:rPr>
              <w:t xml:space="preserve">Coef. </w:t>
            </w:r>
          </w:p>
        </w:tc>
        <w:tc>
          <w:tcPr>
            <w:tcW w:w="1215" w:type="dxa"/>
            <w:tcBorders>
              <w:top w:val="single" w:sz="3" w:space="0" w:color="000000"/>
              <w:left w:val="nil"/>
              <w:bottom w:val="single" w:sz="3" w:space="0" w:color="000000"/>
              <w:right w:val="nil"/>
            </w:tcBorders>
            <w:tcMar>
              <w:top w:w="20" w:type="dxa"/>
              <w:left w:w="20" w:type="dxa"/>
              <w:bottom w:w="100" w:type="dxa"/>
              <w:right w:w="20" w:type="dxa"/>
            </w:tcMar>
            <w:vAlign w:val="center"/>
          </w:tcPr>
          <w:p w14:paraId="5F1499FC" w14:textId="77777777" w:rsidR="00340A38" w:rsidRDefault="00000000">
            <w:pPr>
              <w:spacing w:after="0" w:line="240" w:lineRule="auto"/>
              <w:rPr>
                <w:sz w:val="18"/>
                <w:szCs w:val="18"/>
              </w:rPr>
            </w:pPr>
            <w:r>
              <w:rPr>
                <w:sz w:val="18"/>
                <w:szCs w:val="18"/>
              </w:rPr>
              <w:t>Std. Err.</w:t>
            </w:r>
          </w:p>
        </w:tc>
        <w:tc>
          <w:tcPr>
            <w:tcW w:w="870" w:type="dxa"/>
            <w:tcBorders>
              <w:top w:val="single" w:sz="3" w:space="0" w:color="000000"/>
              <w:left w:val="nil"/>
              <w:bottom w:val="single" w:sz="3" w:space="0" w:color="000000"/>
              <w:right w:val="nil"/>
            </w:tcBorders>
            <w:tcMar>
              <w:top w:w="20" w:type="dxa"/>
              <w:left w:w="20" w:type="dxa"/>
              <w:bottom w:w="100" w:type="dxa"/>
              <w:right w:w="20" w:type="dxa"/>
            </w:tcMar>
            <w:vAlign w:val="center"/>
          </w:tcPr>
          <w:p w14:paraId="34644A24" w14:textId="77777777" w:rsidR="00340A38" w:rsidRDefault="00000000">
            <w:pPr>
              <w:spacing w:after="0" w:line="240" w:lineRule="auto"/>
              <w:rPr>
                <w:sz w:val="18"/>
                <w:szCs w:val="18"/>
              </w:rPr>
            </w:pPr>
            <w:r>
              <w:rPr>
                <w:sz w:val="18"/>
                <w:szCs w:val="18"/>
              </w:rPr>
              <w:t xml:space="preserve"> t</w:t>
            </w:r>
          </w:p>
        </w:tc>
        <w:tc>
          <w:tcPr>
            <w:tcW w:w="870" w:type="dxa"/>
            <w:tcBorders>
              <w:top w:val="single" w:sz="3" w:space="0" w:color="000000"/>
              <w:left w:val="nil"/>
              <w:bottom w:val="single" w:sz="3" w:space="0" w:color="000000"/>
              <w:right w:val="nil"/>
            </w:tcBorders>
            <w:tcMar>
              <w:top w:w="20" w:type="dxa"/>
              <w:left w:w="20" w:type="dxa"/>
              <w:bottom w:w="100" w:type="dxa"/>
              <w:right w:w="20" w:type="dxa"/>
            </w:tcMar>
            <w:vAlign w:val="center"/>
          </w:tcPr>
          <w:p w14:paraId="067D08A5" w14:textId="77777777" w:rsidR="00340A38" w:rsidRDefault="00000000">
            <w:pPr>
              <w:spacing w:after="0" w:line="240" w:lineRule="auto"/>
              <w:rPr>
                <w:sz w:val="18"/>
                <w:szCs w:val="18"/>
              </w:rPr>
            </w:pPr>
            <w:r>
              <w:rPr>
                <w:sz w:val="18"/>
                <w:szCs w:val="18"/>
              </w:rPr>
              <w:t>P&gt;|t|</w:t>
            </w:r>
          </w:p>
        </w:tc>
        <w:tc>
          <w:tcPr>
            <w:tcW w:w="3135" w:type="dxa"/>
            <w:gridSpan w:val="2"/>
            <w:tcBorders>
              <w:top w:val="single" w:sz="3" w:space="0" w:color="000000"/>
              <w:left w:val="nil"/>
              <w:bottom w:val="single" w:sz="3" w:space="0" w:color="000000"/>
              <w:right w:val="nil"/>
            </w:tcBorders>
            <w:tcMar>
              <w:top w:w="20" w:type="dxa"/>
              <w:left w:w="20" w:type="dxa"/>
              <w:bottom w:w="100" w:type="dxa"/>
              <w:right w:w="20" w:type="dxa"/>
            </w:tcMar>
            <w:vAlign w:val="center"/>
          </w:tcPr>
          <w:p w14:paraId="05C152F3" w14:textId="77777777" w:rsidR="00340A38" w:rsidRDefault="00000000">
            <w:pPr>
              <w:spacing w:after="0" w:line="240" w:lineRule="auto"/>
              <w:rPr>
                <w:sz w:val="18"/>
                <w:szCs w:val="18"/>
              </w:rPr>
            </w:pPr>
            <w:r>
              <w:rPr>
                <w:sz w:val="18"/>
                <w:szCs w:val="18"/>
              </w:rPr>
              <w:t xml:space="preserve"> [95% Conf. Interval]</w:t>
            </w:r>
          </w:p>
        </w:tc>
      </w:tr>
      <w:tr w:rsidR="00340A38" w14:paraId="2FED2564" w14:textId="77777777">
        <w:trPr>
          <w:trHeight w:val="315"/>
        </w:trPr>
        <w:tc>
          <w:tcPr>
            <w:tcW w:w="1455" w:type="dxa"/>
            <w:tcBorders>
              <w:top w:val="nil"/>
              <w:left w:val="nil"/>
              <w:bottom w:val="single" w:sz="3" w:space="0" w:color="000000"/>
              <w:right w:val="nil"/>
            </w:tcBorders>
            <w:tcMar>
              <w:top w:w="20" w:type="dxa"/>
              <w:left w:w="20" w:type="dxa"/>
              <w:bottom w:w="100" w:type="dxa"/>
              <w:right w:w="20" w:type="dxa"/>
            </w:tcMar>
            <w:vAlign w:val="center"/>
          </w:tcPr>
          <w:p w14:paraId="3171F67F" w14:textId="77777777" w:rsidR="00340A38" w:rsidRDefault="00000000">
            <w:pPr>
              <w:spacing w:after="0" w:line="240" w:lineRule="auto"/>
              <w:rPr>
                <w:sz w:val="18"/>
                <w:szCs w:val="18"/>
              </w:rPr>
            </w:pPr>
            <w:r>
              <w:rPr>
                <w:color w:val="0D0D0D"/>
                <w:sz w:val="18"/>
                <w:szCs w:val="18"/>
                <w:highlight w:val="white"/>
              </w:rPr>
              <w:t>-.0235389</w:t>
            </w:r>
          </w:p>
        </w:tc>
        <w:tc>
          <w:tcPr>
            <w:tcW w:w="1215" w:type="dxa"/>
            <w:tcBorders>
              <w:top w:val="nil"/>
              <w:left w:val="nil"/>
              <w:bottom w:val="single" w:sz="3" w:space="0" w:color="000000"/>
              <w:right w:val="nil"/>
            </w:tcBorders>
            <w:tcMar>
              <w:top w:w="20" w:type="dxa"/>
              <w:left w:w="20" w:type="dxa"/>
              <w:bottom w:w="100" w:type="dxa"/>
              <w:right w:w="20" w:type="dxa"/>
            </w:tcMar>
            <w:vAlign w:val="center"/>
          </w:tcPr>
          <w:p w14:paraId="7C0A27FF" w14:textId="77777777" w:rsidR="00340A38" w:rsidRDefault="00000000">
            <w:pPr>
              <w:spacing w:after="0" w:line="240" w:lineRule="auto"/>
              <w:rPr>
                <w:sz w:val="18"/>
                <w:szCs w:val="18"/>
              </w:rPr>
            </w:pPr>
            <w:r>
              <w:rPr>
                <w:sz w:val="18"/>
                <w:szCs w:val="18"/>
              </w:rPr>
              <w:t xml:space="preserve"> 0.0108501</w:t>
            </w:r>
          </w:p>
        </w:tc>
        <w:tc>
          <w:tcPr>
            <w:tcW w:w="870" w:type="dxa"/>
            <w:tcBorders>
              <w:top w:val="nil"/>
              <w:left w:val="nil"/>
              <w:bottom w:val="single" w:sz="3" w:space="0" w:color="000000"/>
              <w:right w:val="nil"/>
            </w:tcBorders>
            <w:tcMar>
              <w:top w:w="20" w:type="dxa"/>
              <w:left w:w="20" w:type="dxa"/>
              <w:bottom w:w="100" w:type="dxa"/>
              <w:right w:w="20" w:type="dxa"/>
            </w:tcMar>
            <w:vAlign w:val="center"/>
          </w:tcPr>
          <w:p w14:paraId="2CAD54E1" w14:textId="77777777" w:rsidR="00340A38" w:rsidRDefault="00000000">
            <w:pPr>
              <w:spacing w:after="0" w:line="240" w:lineRule="auto"/>
              <w:rPr>
                <w:sz w:val="18"/>
                <w:szCs w:val="18"/>
              </w:rPr>
            </w:pPr>
            <w:r>
              <w:rPr>
                <w:sz w:val="18"/>
                <w:szCs w:val="18"/>
              </w:rPr>
              <w:t>-2.17</w:t>
            </w:r>
          </w:p>
        </w:tc>
        <w:tc>
          <w:tcPr>
            <w:tcW w:w="870" w:type="dxa"/>
            <w:tcBorders>
              <w:top w:val="nil"/>
              <w:left w:val="nil"/>
              <w:bottom w:val="single" w:sz="3" w:space="0" w:color="000000"/>
              <w:right w:val="nil"/>
            </w:tcBorders>
            <w:tcMar>
              <w:top w:w="20" w:type="dxa"/>
              <w:left w:w="20" w:type="dxa"/>
              <w:bottom w:w="100" w:type="dxa"/>
              <w:right w:w="20" w:type="dxa"/>
            </w:tcMar>
            <w:vAlign w:val="center"/>
          </w:tcPr>
          <w:p w14:paraId="109DFD27" w14:textId="77777777" w:rsidR="00340A38" w:rsidRDefault="00000000">
            <w:pPr>
              <w:spacing w:after="0" w:line="240" w:lineRule="auto"/>
              <w:rPr>
                <w:sz w:val="18"/>
                <w:szCs w:val="18"/>
              </w:rPr>
            </w:pPr>
            <w:r>
              <w:rPr>
                <w:sz w:val="18"/>
                <w:szCs w:val="18"/>
              </w:rPr>
              <w:t>0.030</w:t>
            </w:r>
          </w:p>
        </w:tc>
        <w:tc>
          <w:tcPr>
            <w:tcW w:w="1920" w:type="dxa"/>
            <w:tcBorders>
              <w:top w:val="nil"/>
              <w:left w:val="nil"/>
              <w:bottom w:val="single" w:sz="3" w:space="0" w:color="000000"/>
              <w:right w:val="nil"/>
            </w:tcBorders>
            <w:tcMar>
              <w:top w:w="20" w:type="dxa"/>
              <w:left w:w="20" w:type="dxa"/>
              <w:bottom w:w="100" w:type="dxa"/>
              <w:right w:w="20" w:type="dxa"/>
            </w:tcMar>
            <w:vAlign w:val="center"/>
          </w:tcPr>
          <w:p w14:paraId="18058A9A" w14:textId="77777777" w:rsidR="00340A38" w:rsidRDefault="00000000">
            <w:pPr>
              <w:spacing w:after="0" w:line="240" w:lineRule="auto"/>
              <w:rPr>
                <w:sz w:val="18"/>
                <w:szCs w:val="18"/>
              </w:rPr>
            </w:pPr>
            <w:r>
              <w:rPr>
                <w:sz w:val="18"/>
                <w:szCs w:val="18"/>
              </w:rPr>
              <w:t>-0.0448085</w:t>
            </w:r>
          </w:p>
        </w:tc>
        <w:tc>
          <w:tcPr>
            <w:tcW w:w="1215" w:type="dxa"/>
            <w:tcBorders>
              <w:top w:val="nil"/>
              <w:left w:val="nil"/>
              <w:bottom w:val="single" w:sz="3" w:space="0" w:color="000000"/>
              <w:right w:val="nil"/>
            </w:tcBorders>
            <w:tcMar>
              <w:top w:w="20" w:type="dxa"/>
              <w:left w:w="20" w:type="dxa"/>
              <w:bottom w:w="100" w:type="dxa"/>
              <w:right w:w="20" w:type="dxa"/>
            </w:tcMar>
            <w:vAlign w:val="center"/>
          </w:tcPr>
          <w:p w14:paraId="27A2E9B9" w14:textId="77777777" w:rsidR="00340A38" w:rsidRDefault="00000000">
            <w:pPr>
              <w:spacing w:after="0" w:line="240" w:lineRule="auto"/>
              <w:rPr>
                <w:sz w:val="18"/>
                <w:szCs w:val="18"/>
              </w:rPr>
            </w:pPr>
            <w:r>
              <w:rPr>
                <w:sz w:val="18"/>
                <w:szCs w:val="18"/>
              </w:rPr>
              <w:t xml:space="preserve"> -0.0022693</w:t>
            </w:r>
          </w:p>
        </w:tc>
      </w:tr>
    </w:tbl>
    <w:p w14:paraId="63ED6B85" w14:textId="77777777" w:rsidR="00340A38" w:rsidRDefault="00000000">
      <w:pPr>
        <w:pStyle w:val="Heading2"/>
      </w:pPr>
      <w:bookmarkStart w:id="29" w:name="_8z50upfap1lj" w:colFirst="0" w:colLast="0"/>
      <w:bookmarkEnd w:id="29"/>
      <w:r>
        <w:lastRenderedPageBreak/>
        <w:t>5.2 Comparisons in Different Industry Groups</w:t>
      </w:r>
    </w:p>
    <w:p w14:paraId="2642B159" w14:textId="77777777" w:rsidR="00340A38" w:rsidRDefault="00000000">
      <w:pPr>
        <w:spacing w:line="480" w:lineRule="auto"/>
        <w:jc w:val="both"/>
      </w:pPr>
      <w:r>
        <w:t xml:space="preserve">In this section, we try to figure out the cross-sectional differences in the influence of the three parties. We only select the groups with over 100 observations to make our regression results accountable. Based on the results shown in Table 6, comparing the IT industry with the Manufacturing industry, all three parties in the manufacturing industry display greater power over the capital structure. One potential explanation is that for high-tech companies, their </w:t>
      </w:r>
      <w:proofErr w:type="gramStart"/>
      <w:r>
        <w:t>particular firm</w:t>
      </w:r>
      <w:proofErr w:type="gramEnd"/>
      <w:r>
        <w:t xml:space="preserve"> characteristics, low tangibility, and high growth value, make equity a better choice for them over debt, and thus their firm features account for a huge percentage of capital structure choice, rather than the internal governance power. However, for traditional industries, such as the manufacturing industry, their firm characteristics don’t show a specific preference between debt and equity and thus don’t limit the capital structure choice of the three parties. </w:t>
      </w:r>
    </w:p>
    <w:p w14:paraId="55E06CEE" w14:textId="77777777" w:rsidR="002030EC" w:rsidRDefault="002030EC">
      <w:pPr>
        <w:spacing w:after="0"/>
      </w:pPr>
    </w:p>
    <w:p w14:paraId="5F83642E" w14:textId="77777777" w:rsidR="002030EC" w:rsidRDefault="002030EC">
      <w:pPr>
        <w:spacing w:after="0"/>
      </w:pPr>
    </w:p>
    <w:p w14:paraId="7AF277B8" w14:textId="77777777" w:rsidR="002030EC" w:rsidRDefault="002030EC">
      <w:pPr>
        <w:spacing w:after="0"/>
      </w:pPr>
    </w:p>
    <w:p w14:paraId="5012488A" w14:textId="77777777" w:rsidR="002030EC" w:rsidRDefault="002030EC">
      <w:pPr>
        <w:spacing w:after="0"/>
      </w:pPr>
    </w:p>
    <w:p w14:paraId="06BE8BB1" w14:textId="77777777" w:rsidR="002030EC" w:rsidRDefault="002030EC">
      <w:pPr>
        <w:spacing w:after="0"/>
      </w:pPr>
    </w:p>
    <w:p w14:paraId="78F21243" w14:textId="77777777" w:rsidR="002030EC" w:rsidRDefault="002030EC">
      <w:pPr>
        <w:spacing w:after="0"/>
      </w:pPr>
    </w:p>
    <w:p w14:paraId="78F1CEB1" w14:textId="77777777" w:rsidR="002030EC" w:rsidRDefault="002030EC">
      <w:pPr>
        <w:spacing w:after="0"/>
      </w:pPr>
    </w:p>
    <w:p w14:paraId="01E0A32B" w14:textId="77777777" w:rsidR="002030EC" w:rsidRDefault="002030EC">
      <w:pPr>
        <w:spacing w:after="0"/>
      </w:pPr>
    </w:p>
    <w:p w14:paraId="36C701EE" w14:textId="77777777" w:rsidR="002030EC" w:rsidRDefault="002030EC">
      <w:pPr>
        <w:spacing w:after="0"/>
      </w:pPr>
    </w:p>
    <w:p w14:paraId="5BA38046" w14:textId="77777777" w:rsidR="002030EC" w:rsidRDefault="002030EC">
      <w:pPr>
        <w:spacing w:after="0"/>
      </w:pPr>
    </w:p>
    <w:p w14:paraId="143B4E25" w14:textId="77777777" w:rsidR="002030EC" w:rsidRDefault="002030EC">
      <w:pPr>
        <w:spacing w:after="0"/>
      </w:pPr>
    </w:p>
    <w:p w14:paraId="0372A9D0" w14:textId="77777777" w:rsidR="002030EC" w:rsidRDefault="002030EC">
      <w:pPr>
        <w:spacing w:after="0"/>
      </w:pPr>
    </w:p>
    <w:p w14:paraId="71A19142" w14:textId="77777777" w:rsidR="002030EC" w:rsidRDefault="002030EC">
      <w:pPr>
        <w:spacing w:after="0"/>
      </w:pPr>
    </w:p>
    <w:p w14:paraId="0355EF3A" w14:textId="77777777" w:rsidR="002030EC" w:rsidRDefault="002030EC">
      <w:pPr>
        <w:spacing w:after="0"/>
      </w:pPr>
    </w:p>
    <w:p w14:paraId="3629A21F" w14:textId="77777777" w:rsidR="00520A60" w:rsidRDefault="00520A60">
      <w:pPr>
        <w:spacing w:after="0"/>
      </w:pPr>
    </w:p>
    <w:p w14:paraId="01FDCCC4" w14:textId="77777777" w:rsidR="002030EC" w:rsidRDefault="002030EC">
      <w:pPr>
        <w:spacing w:after="0"/>
      </w:pPr>
    </w:p>
    <w:p w14:paraId="6C724889" w14:textId="12C7470F" w:rsidR="00340A38" w:rsidRDefault="00000000">
      <w:pPr>
        <w:spacing w:after="0"/>
        <w:rPr>
          <w:b/>
          <w:sz w:val="20"/>
          <w:szCs w:val="20"/>
        </w:rPr>
      </w:pPr>
      <w:r>
        <w:rPr>
          <w:b/>
          <w:sz w:val="20"/>
          <w:szCs w:val="20"/>
        </w:rPr>
        <w:lastRenderedPageBreak/>
        <w:t>Table 6</w:t>
      </w:r>
    </w:p>
    <w:tbl>
      <w:tblPr>
        <w:tblStyle w:val="ab"/>
        <w:tblW w:w="10035" w:type="dxa"/>
        <w:tblInd w:w="-480" w:type="dxa"/>
        <w:tblBorders>
          <w:top w:val="nil"/>
          <w:left w:val="nil"/>
          <w:bottom w:val="nil"/>
          <w:right w:val="nil"/>
          <w:insideH w:val="nil"/>
          <w:insideV w:val="nil"/>
        </w:tblBorders>
        <w:tblLayout w:type="fixed"/>
        <w:tblLook w:val="0600" w:firstRow="0" w:lastRow="0" w:firstColumn="0" w:lastColumn="0" w:noHBand="1" w:noVBand="1"/>
      </w:tblPr>
      <w:tblGrid>
        <w:gridCol w:w="855"/>
        <w:gridCol w:w="1020"/>
        <w:gridCol w:w="1260"/>
        <w:gridCol w:w="1095"/>
        <w:gridCol w:w="1035"/>
        <w:gridCol w:w="1260"/>
        <w:gridCol w:w="870"/>
        <w:gridCol w:w="1200"/>
        <w:gridCol w:w="1440"/>
      </w:tblGrid>
      <w:tr w:rsidR="00340A38" w14:paraId="5539A308" w14:textId="77777777">
        <w:trPr>
          <w:trHeight w:val="315"/>
        </w:trPr>
        <w:tc>
          <w:tcPr>
            <w:tcW w:w="855" w:type="dxa"/>
            <w:tcBorders>
              <w:top w:val="single" w:sz="6" w:space="0" w:color="000000"/>
              <w:left w:val="nil"/>
              <w:bottom w:val="nil"/>
              <w:right w:val="nil"/>
            </w:tcBorders>
            <w:tcMar>
              <w:top w:w="20" w:type="dxa"/>
              <w:left w:w="20" w:type="dxa"/>
              <w:bottom w:w="100" w:type="dxa"/>
              <w:right w:w="20" w:type="dxa"/>
            </w:tcMar>
            <w:vAlign w:val="center"/>
          </w:tcPr>
          <w:p w14:paraId="7755A04F" w14:textId="77777777" w:rsidR="00340A38" w:rsidRDefault="00340A38">
            <w:pPr>
              <w:spacing w:after="0" w:line="240" w:lineRule="auto"/>
              <w:jc w:val="center"/>
              <w:rPr>
                <w:sz w:val="18"/>
                <w:szCs w:val="18"/>
              </w:rPr>
            </w:pPr>
          </w:p>
        </w:tc>
        <w:tc>
          <w:tcPr>
            <w:tcW w:w="1020" w:type="dxa"/>
            <w:tcBorders>
              <w:top w:val="single" w:sz="6" w:space="0" w:color="000000"/>
              <w:left w:val="nil"/>
              <w:bottom w:val="nil"/>
              <w:right w:val="nil"/>
            </w:tcBorders>
            <w:tcMar>
              <w:top w:w="20" w:type="dxa"/>
              <w:left w:w="20" w:type="dxa"/>
              <w:bottom w:w="100" w:type="dxa"/>
              <w:right w:w="20" w:type="dxa"/>
            </w:tcMar>
          </w:tcPr>
          <w:p w14:paraId="2AF3F029" w14:textId="77777777" w:rsidR="00340A38" w:rsidRDefault="00000000">
            <w:pPr>
              <w:spacing w:after="0" w:line="240" w:lineRule="auto"/>
              <w:jc w:val="center"/>
              <w:rPr>
                <w:sz w:val="18"/>
                <w:szCs w:val="18"/>
              </w:rPr>
            </w:pPr>
            <w:r>
              <w:rPr>
                <w:sz w:val="18"/>
                <w:szCs w:val="18"/>
              </w:rPr>
              <w:t>Mining</w:t>
            </w:r>
          </w:p>
        </w:tc>
        <w:tc>
          <w:tcPr>
            <w:tcW w:w="1260" w:type="dxa"/>
            <w:tcBorders>
              <w:top w:val="single" w:sz="6" w:space="0" w:color="000000"/>
              <w:left w:val="nil"/>
              <w:bottom w:val="nil"/>
              <w:right w:val="nil"/>
            </w:tcBorders>
            <w:tcMar>
              <w:top w:w="20" w:type="dxa"/>
              <w:left w:w="20" w:type="dxa"/>
              <w:bottom w:w="100" w:type="dxa"/>
              <w:right w:w="20" w:type="dxa"/>
            </w:tcMar>
          </w:tcPr>
          <w:p w14:paraId="6B51194D" w14:textId="77777777" w:rsidR="00340A38" w:rsidRDefault="00000000">
            <w:pPr>
              <w:spacing w:after="0" w:line="240" w:lineRule="auto"/>
              <w:jc w:val="center"/>
              <w:rPr>
                <w:sz w:val="18"/>
                <w:szCs w:val="18"/>
              </w:rPr>
            </w:pPr>
            <w:r>
              <w:rPr>
                <w:sz w:val="18"/>
                <w:szCs w:val="18"/>
              </w:rPr>
              <w:t>Manufacturing</w:t>
            </w:r>
          </w:p>
        </w:tc>
        <w:tc>
          <w:tcPr>
            <w:tcW w:w="1095" w:type="dxa"/>
            <w:tcBorders>
              <w:top w:val="single" w:sz="6" w:space="0" w:color="000000"/>
              <w:left w:val="nil"/>
              <w:bottom w:val="nil"/>
              <w:right w:val="nil"/>
            </w:tcBorders>
            <w:tcMar>
              <w:top w:w="20" w:type="dxa"/>
              <w:left w:w="20" w:type="dxa"/>
              <w:bottom w:w="100" w:type="dxa"/>
              <w:right w:w="20" w:type="dxa"/>
            </w:tcMar>
          </w:tcPr>
          <w:p w14:paraId="214498F5" w14:textId="77777777" w:rsidR="00340A38" w:rsidRDefault="00000000">
            <w:pPr>
              <w:spacing w:after="0" w:line="240" w:lineRule="auto"/>
              <w:jc w:val="center"/>
              <w:rPr>
                <w:sz w:val="18"/>
                <w:szCs w:val="18"/>
              </w:rPr>
            </w:pPr>
            <w:r>
              <w:rPr>
                <w:sz w:val="18"/>
                <w:szCs w:val="18"/>
              </w:rPr>
              <w:t>Utilities</w:t>
            </w:r>
          </w:p>
        </w:tc>
        <w:tc>
          <w:tcPr>
            <w:tcW w:w="1035" w:type="dxa"/>
            <w:tcBorders>
              <w:top w:val="single" w:sz="6" w:space="0" w:color="000000"/>
              <w:left w:val="nil"/>
              <w:bottom w:val="nil"/>
              <w:right w:val="nil"/>
            </w:tcBorders>
            <w:tcMar>
              <w:top w:w="20" w:type="dxa"/>
              <w:left w:w="20" w:type="dxa"/>
              <w:bottom w:w="100" w:type="dxa"/>
              <w:right w:w="20" w:type="dxa"/>
            </w:tcMar>
          </w:tcPr>
          <w:p w14:paraId="5FACBDC0" w14:textId="77777777" w:rsidR="00340A38" w:rsidRDefault="00000000">
            <w:pPr>
              <w:spacing w:after="0" w:line="240" w:lineRule="auto"/>
              <w:jc w:val="center"/>
              <w:rPr>
                <w:sz w:val="18"/>
                <w:szCs w:val="18"/>
              </w:rPr>
            </w:pPr>
            <w:r>
              <w:rPr>
                <w:sz w:val="18"/>
                <w:szCs w:val="18"/>
              </w:rPr>
              <w:t>Retailing</w:t>
            </w:r>
          </w:p>
        </w:tc>
        <w:tc>
          <w:tcPr>
            <w:tcW w:w="1260" w:type="dxa"/>
            <w:tcBorders>
              <w:top w:val="single" w:sz="6" w:space="0" w:color="000000"/>
              <w:left w:val="nil"/>
              <w:bottom w:val="nil"/>
              <w:right w:val="nil"/>
            </w:tcBorders>
            <w:tcMar>
              <w:top w:w="20" w:type="dxa"/>
              <w:left w:w="20" w:type="dxa"/>
              <w:bottom w:w="100" w:type="dxa"/>
              <w:right w:w="20" w:type="dxa"/>
            </w:tcMar>
          </w:tcPr>
          <w:p w14:paraId="00F86B49" w14:textId="77777777" w:rsidR="00340A38" w:rsidRDefault="00000000">
            <w:pPr>
              <w:spacing w:after="0" w:line="240" w:lineRule="auto"/>
              <w:jc w:val="center"/>
              <w:rPr>
                <w:sz w:val="18"/>
                <w:szCs w:val="18"/>
              </w:rPr>
            </w:pPr>
            <w:r>
              <w:rPr>
                <w:sz w:val="18"/>
                <w:szCs w:val="18"/>
              </w:rPr>
              <w:t>Transportation</w:t>
            </w:r>
          </w:p>
        </w:tc>
        <w:tc>
          <w:tcPr>
            <w:tcW w:w="870" w:type="dxa"/>
            <w:tcBorders>
              <w:top w:val="single" w:sz="6" w:space="0" w:color="000000"/>
              <w:left w:val="nil"/>
              <w:bottom w:val="nil"/>
              <w:right w:val="nil"/>
            </w:tcBorders>
            <w:tcMar>
              <w:top w:w="20" w:type="dxa"/>
              <w:left w:w="20" w:type="dxa"/>
              <w:bottom w:w="100" w:type="dxa"/>
              <w:right w:w="20" w:type="dxa"/>
            </w:tcMar>
          </w:tcPr>
          <w:p w14:paraId="55387EA6" w14:textId="77777777" w:rsidR="00340A38" w:rsidRDefault="00000000">
            <w:pPr>
              <w:spacing w:after="0" w:line="240" w:lineRule="auto"/>
              <w:jc w:val="center"/>
              <w:rPr>
                <w:sz w:val="18"/>
                <w:szCs w:val="18"/>
              </w:rPr>
            </w:pPr>
            <w:r>
              <w:rPr>
                <w:sz w:val="18"/>
                <w:szCs w:val="18"/>
              </w:rPr>
              <w:t>IT</w:t>
            </w:r>
          </w:p>
        </w:tc>
        <w:tc>
          <w:tcPr>
            <w:tcW w:w="1200" w:type="dxa"/>
            <w:tcBorders>
              <w:top w:val="single" w:sz="6" w:space="0" w:color="000000"/>
              <w:left w:val="nil"/>
              <w:bottom w:val="nil"/>
              <w:right w:val="nil"/>
            </w:tcBorders>
            <w:tcMar>
              <w:top w:w="20" w:type="dxa"/>
              <w:left w:w="20" w:type="dxa"/>
              <w:bottom w:w="100" w:type="dxa"/>
              <w:right w:w="20" w:type="dxa"/>
            </w:tcMar>
          </w:tcPr>
          <w:p w14:paraId="735F89CF" w14:textId="77777777" w:rsidR="00340A38" w:rsidRDefault="00000000">
            <w:pPr>
              <w:spacing w:after="0" w:line="240" w:lineRule="auto"/>
              <w:jc w:val="center"/>
              <w:rPr>
                <w:sz w:val="18"/>
                <w:szCs w:val="18"/>
              </w:rPr>
            </w:pPr>
            <w:r>
              <w:rPr>
                <w:sz w:val="18"/>
                <w:szCs w:val="18"/>
              </w:rPr>
              <w:t>Real Estate</w:t>
            </w:r>
          </w:p>
        </w:tc>
        <w:tc>
          <w:tcPr>
            <w:tcW w:w="1440" w:type="dxa"/>
            <w:tcBorders>
              <w:top w:val="single" w:sz="6" w:space="0" w:color="000000"/>
              <w:left w:val="nil"/>
              <w:bottom w:val="nil"/>
              <w:right w:val="nil"/>
            </w:tcBorders>
            <w:tcMar>
              <w:top w:w="20" w:type="dxa"/>
              <w:left w:w="20" w:type="dxa"/>
              <w:bottom w:w="100" w:type="dxa"/>
              <w:right w:w="20" w:type="dxa"/>
            </w:tcMar>
          </w:tcPr>
          <w:p w14:paraId="3336B7E5" w14:textId="77777777" w:rsidR="00340A38" w:rsidRDefault="00000000">
            <w:pPr>
              <w:spacing w:after="0" w:line="240" w:lineRule="auto"/>
              <w:jc w:val="center"/>
              <w:rPr>
                <w:sz w:val="18"/>
                <w:szCs w:val="18"/>
              </w:rPr>
            </w:pPr>
            <w:r>
              <w:rPr>
                <w:sz w:val="18"/>
                <w:szCs w:val="18"/>
              </w:rPr>
              <w:t>Leasing &amp; Business Service</w:t>
            </w:r>
          </w:p>
        </w:tc>
      </w:tr>
      <w:tr w:rsidR="00340A38" w14:paraId="369C13DF" w14:textId="77777777">
        <w:trPr>
          <w:trHeight w:val="315"/>
        </w:trPr>
        <w:tc>
          <w:tcPr>
            <w:tcW w:w="855" w:type="dxa"/>
            <w:tcBorders>
              <w:top w:val="nil"/>
              <w:left w:val="nil"/>
              <w:bottom w:val="single" w:sz="6" w:space="0" w:color="000000"/>
              <w:right w:val="nil"/>
            </w:tcBorders>
            <w:tcMar>
              <w:top w:w="20" w:type="dxa"/>
              <w:left w:w="20" w:type="dxa"/>
              <w:bottom w:w="100" w:type="dxa"/>
              <w:right w:w="20" w:type="dxa"/>
            </w:tcMar>
          </w:tcPr>
          <w:p w14:paraId="1F3057C1" w14:textId="77777777" w:rsidR="00340A38" w:rsidRDefault="00340A38">
            <w:pPr>
              <w:spacing w:after="0" w:line="240" w:lineRule="auto"/>
              <w:jc w:val="center"/>
              <w:rPr>
                <w:sz w:val="18"/>
                <w:szCs w:val="18"/>
              </w:rPr>
            </w:pPr>
          </w:p>
        </w:tc>
        <w:tc>
          <w:tcPr>
            <w:tcW w:w="1020" w:type="dxa"/>
            <w:tcBorders>
              <w:top w:val="nil"/>
              <w:left w:val="nil"/>
              <w:bottom w:val="single" w:sz="6" w:space="0" w:color="000000"/>
              <w:right w:val="nil"/>
            </w:tcBorders>
            <w:tcMar>
              <w:top w:w="20" w:type="dxa"/>
              <w:left w:w="20" w:type="dxa"/>
              <w:bottom w:w="100" w:type="dxa"/>
              <w:right w:w="20" w:type="dxa"/>
            </w:tcMar>
          </w:tcPr>
          <w:p w14:paraId="1CA34588" w14:textId="77777777" w:rsidR="00340A38" w:rsidRDefault="00000000">
            <w:pPr>
              <w:spacing w:after="0" w:line="240" w:lineRule="auto"/>
              <w:jc w:val="center"/>
              <w:rPr>
                <w:sz w:val="18"/>
                <w:szCs w:val="18"/>
              </w:rPr>
            </w:pPr>
            <w:proofErr w:type="gramStart"/>
            <w:r>
              <w:rPr>
                <w:sz w:val="18"/>
                <w:szCs w:val="18"/>
              </w:rPr>
              <w:t>LEV(</w:t>
            </w:r>
            <w:proofErr w:type="gramEnd"/>
            <w:r>
              <w:rPr>
                <w:sz w:val="18"/>
                <w:szCs w:val="18"/>
              </w:rPr>
              <w:t>4)</w:t>
            </w:r>
          </w:p>
        </w:tc>
        <w:tc>
          <w:tcPr>
            <w:tcW w:w="1260" w:type="dxa"/>
            <w:tcBorders>
              <w:top w:val="nil"/>
              <w:left w:val="nil"/>
              <w:bottom w:val="single" w:sz="6" w:space="0" w:color="000000"/>
              <w:right w:val="nil"/>
            </w:tcBorders>
            <w:tcMar>
              <w:top w:w="20" w:type="dxa"/>
              <w:left w:w="20" w:type="dxa"/>
              <w:bottom w:w="100" w:type="dxa"/>
              <w:right w:w="20" w:type="dxa"/>
            </w:tcMar>
          </w:tcPr>
          <w:p w14:paraId="3EAF31A5" w14:textId="77777777" w:rsidR="00340A38" w:rsidRDefault="00000000">
            <w:pPr>
              <w:spacing w:after="0" w:line="240" w:lineRule="auto"/>
              <w:jc w:val="center"/>
              <w:rPr>
                <w:sz w:val="18"/>
                <w:szCs w:val="18"/>
              </w:rPr>
            </w:pPr>
            <w:proofErr w:type="gramStart"/>
            <w:r>
              <w:rPr>
                <w:sz w:val="18"/>
                <w:szCs w:val="18"/>
              </w:rPr>
              <w:t>LEV(</w:t>
            </w:r>
            <w:proofErr w:type="gramEnd"/>
            <w:r>
              <w:rPr>
                <w:sz w:val="18"/>
                <w:szCs w:val="18"/>
              </w:rPr>
              <w:t>5)</w:t>
            </w:r>
          </w:p>
        </w:tc>
        <w:tc>
          <w:tcPr>
            <w:tcW w:w="1095" w:type="dxa"/>
            <w:tcBorders>
              <w:top w:val="nil"/>
              <w:left w:val="nil"/>
              <w:bottom w:val="single" w:sz="6" w:space="0" w:color="000000"/>
              <w:right w:val="nil"/>
            </w:tcBorders>
            <w:tcMar>
              <w:top w:w="20" w:type="dxa"/>
              <w:left w:w="20" w:type="dxa"/>
              <w:bottom w:w="100" w:type="dxa"/>
              <w:right w:w="20" w:type="dxa"/>
            </w:tcMar>
          </w:tcPr>
          <w:p w14:paraId="62106C78" w14:textId="77777777" w:rsidR="00340A38" w:rsidRDefault="00000000">
            <w:pPr>
              <w:spacing w:after="0" w:line="240" w:lineRule="auto"/>
              <w:jc w:val="center"/>
              <w:rPr>
                <w:sz w:val="18"/>
                <w:szCs w:val="18"/>
              </w:rPr>
            </w:pPr>
            <w:proofErr w:type="gramStart"/>
            <w:r>
              <w:rPr>
                <w:sz w:val="18"/>
                <w:szCs w:val="18"/>
              </w:rPr>
              <w:t>LEV(</w:t>
            </w:r>
            <w:proofErr w:type="gramEnd"/>
            <w:r>
              <w:rPr>
                <w:sz w:val="18"/>
                <w:szCs w:val="18"/>
              </w:rPr>
              <w:t>6)</w:t>
            </w:r>
          </w:p>
        </w:tc>
        <w:tc>
          <w:tcPr>
            <w:tcW w:w="1035" w:type="dxa"/>
            <w:tcBorders>
              <w:top w:val="nil"/>
              <w:left w:val="nil"/>
              <w:bottom w:val="single" w:sz="6" w:space="0" w:color="000000"/>
              <w:right w:val="nil"/>
            </w:tcBorders>
            <w:tcMar>
              <w:top w:w="20" w:type="dxa"/>
              <w:left w:w="20" w:type="dxa"/>
              <w:bottom w:w="100" w:type="dxa"/>
              <w:right w:w="20" w:type="dxa"/>
            </w:tcMar>
          </w:tcPr>
          <w:p w14:paraId="2B1E1628" w14:textId="77777777" w:rsidR="00340A38" w:rsidRDefault="00000000">
            <w:pPr>
              <w:spacing w:after="0" w:line="240" w:lineRule="auto"/>
              <w:jc w:val="center"/>
              <w:rPr>
                <w:sz w:val="18"/>
                <w:szCs w:val="18"/>
              </w:rPr>
            </w:pPr>
            <w:proofErr w:type="gramStart"/>
            <w:r>
              <w:rPr>
                <w:sz w:val="18"/>
                <w:szCs w:val="18"/>
              </w:rPr>
              <w:t>LEV(</w:t>
            </w:r>
            <w:proofErr w:type="gramEnd"/>
            <w:r>
              <w:rPr>
                <w:sz w:val="18"/>
                <w:szCs w:val="18"/>
              </w:rPr>
              <w:t>7)</w:t>
            </w:r>
          </w:p>
        </w:tc>
        <w:tc>
          <w:tcPr>
            <w:tcW w:w="1260" w:type="dxa"/>
            <w:tcBorders>
              <w:top w:val="nil"/>
              <w:left w:val="nil"/>
              <w:bottom w:val="single" w:sz="6" w:space="0" w:color="000000"/>
              <w:right w:val="nil"/>
            </w:tcBorders>
            <w:tcMar>
              <w:top w:w="20" w:type="dxa"/>
              <w:left w:w="20" w:type="dxa"/>
              <w:bottom w:w="100" w:type="dxa"/>
              <w:right w:w="20" w:type="dxa"/>
            </w:tcMar>
          </w:tcPr>
          <w:p w14:paraId="3C44B8D9" w14:textId="77777777" w:rsidR="00340A38" w:rsidRDefault="00000000">
            <w:pPr>
              <w:spacing w:after="0" w:line="240" w:lineRule="auto"/>
              <w:jc w:val="center"/>
              <w:rPr>
                <w:sz w:val="18"/>
                <w:szCs w:val="18"/>
              </w:rPr>
            </w:pPr>
            <w:proofErr w:type="gramStart"/>
            <w:r>
              <w:rPr>
                <w:sz w:val="18"/>
                <w:szCs w:val="18"/>
              </w:rPr>
              <w:t>LEV(</w:t>
            </w:r>
            <w:proofErr w:type="gramEnd"/>
            <w:r>
              <w:rPr>
                <w:sz w:val="18"/>
                <w:szCs w:val="18"/>
              </w:rPr>
              <w:t>8)</w:t>
            </w:r>
          </w:p>
        </w:tc>
        <w:tc>
          <w:tcPr>
            <w:tcW w:w="870" w:type="dxa"/>
            <w:tcBorders>
              <w:top w:val="nil"/>
              <w:left w:val="nil"/>
              <w:bottom w:val="single" w:sz="6" w:space="0" w:color="000000"/>
              <w:right w:val="nil"/>
            </w:tcBorders>
            <w:tcMar>
              <w:top w:w="20" w:type="dxa"/>
              <w:left w:w="20" w:type="dxa"/>
              <w:bottom w:w="100" w:type="dxa"/>
              <w:right w:w="20" w:type="dxa"/>
            </w:tcMar>
          </w:tcPr>
          <w:p w14:paraId="33743F24" w14:textId="77777777" w:rsidR="00340A38" w:rsidRDefault="00000000">
            <w:pPr>
              <w:spacing w:after="0" w:line="240" w:lineRule="auto"/>
              <w:jc w:val="center"/>
              <w:rPr>
                <w:sz w:val="18"/>
                <w:szCs w:val="18"/>
              </w:rPr>
            </w:pPr>
            <w:proofErr w:type="gramStart"/>
            <w:r>
              <w:rPr>
                <w:sz w:val="18"/>
                <w:szCs w:val="18"/>
              </w:rPr>
              <w:t>LEV(</w:t>
            </w:r>
            <w:proofErr w:type="gramEnd"/>
            <w:r>
              <w:rPr>
                <w:sz w:val="18"/>
                <w:szCs w:val="18"/>
              </w:rPr>
              <w:t>9)</w:t>
            </w:r>
          </w:p>
        </w:tc>
        <w:tc>
          <w:tcPr>
            <w:tcW w:w="1200" w:type="dxa"/>
            <w:tcBorders>
              <w:top w:val="nil"/>
              <w:left w:val="nil"/>
              <w:bottom w:val="single" w:sz="6" w:space="0" w:color="000000"/>
              <w:right w:val="nil"/>
            </w:tcBorders>
            <w:tcMar>
              <w:top w:w="20" w:type="dxa"/>
              <w:left w:w="20" w:type="dxa"/>
              <w:bottom w:w="100" w:type="dxa"/>
              <w:right w:w="20" w:type="dxa"/>
            </w:tcMar>
          </w:tcPr>
          <w:p w14:paraId="0DA7078C" w14:textId="77777777" w:rsidR="00340A38" w:rsidRDefault="00000000">
            <w:pPr>
              <w:spacing w:after="0" w:line="240" w:lineRule="auto"/>
              <w:jc w:val="center"/>
              <w:rPr>
                <w:sz w:val="18"/>
                <w:szCs w:val="18"/>
              </w:rPr>
            </w:pPr>
            <w:proofErr w:type="gramStart"/>
            <w:r>
              <w:rPr>
                <w:sz w:val="18"/>
                <w:szCs w:val="18"/>
              </w:rPr>
              <w:t>LEV(</w:t>
            </w:r>
            <w:proofErr w:type="gramEnd"/>
            <w:r>
              <w:rPr>
                <w:sz w:val="18"/>
                <w:szCs w:val="18"/>
              </w:rPr>
              <w:t>10)</w:t>
            </w:r>
          </w:p>
        </w:tc>
        <w:tc>
          <w:tcPr>
            <w:tcW w:w="1440" w:type="dxa"/>
            <w:tcBorders>
              <w:top w:val="nil"/>
              <w:left w:val="nil"/>
              <w:bottom w:val="single" w:sz="6" w:space="0" w:color="000000"/>
              <w:right w:val="nil"/>
            </w:tcBorders>
            <w:tcMar>
              <w:top w:w="20" w:type="dxa"/>
              <w:left w:w="20" w:type="dxa"/>
              <w:bottom w:w="100" w:type="dxa"/>
              <w:right w:w="20" w:type="dxa"/>
            </w:tcMar>
          </w:tcPr>
          <w:p w14:paraId="5BD93390" w14:textId="77777777" w:rsidR="00340A38" w:rsidRDefault="00000000">
            <w:pPr>
              <w:spacing w:after="0" w:line="240" w:lineRule="auto"/>
              <w:jc w:val="center"/>
              <w:rPr>
                <w:sz w:val="18"/>
                <w:szCs w:val="18"/>
              </w:rPr>
            </w:pPr>
            <w:proofErr w:type="gramStart"/>
            <w:r>
              <w:rPr>
                <w:sz w:val="18"/>
                <w:szCs w:val="18"/>
              </w:rPr>
              <w:t>LEV(</w:t>
            </w:r>
            <w:proofErr w:type="gramEnd"/>
            <w:r>
              <w:rPr>
                <w:sz w:val="18"/>
                <w:szCs w:val="18"/>
              </w:rPr>
              <w:t>11)</w:t>
            </w:r>
          </w:p>
        </w:tc>
      </w:tr>
      <w:tr w:rsidR="00340A38" w14:paraId="07FFB98F" w14:textId="77777777">
        <w:trPr>
          <w:trHeight w:val="315"/>
        </w:trPr>
        <w:tc>
          <w:tcPr>
            <w:tcW w:w="855" w:type="dxa"/>
            <w:tcBorders>
              <w:top w:val="nil"/>
              <w:left w:val="nil"/>
              <w:bottom w:val="nil"/>
              <w:right w:val="nil"/>
            </w:tcBorders>
            <w:tcMar>
              <w:top w:w="20" w:type="dxa"/>
              <w:left w:w="20" w:type="dxa"/>
              <w:bottom w:w="100" w:type="dxa"/>
              <w:right w:w="20" w:type="dxa"/>
            </w:tcMar>
          </w:tcPr>
          <w:p w14:paraId="1CB335D2" w14:textId="77777777" w:rsidR="00340A38" w:rsidRDefault="00340A38">
            <w:pPr>
              <w:spacing w:after="0" w:line="240" w:lineRule="auto"/>
              <w:jc w:val="center"/>
              <w:rPr>
                <w:sz w:val="18"/>
                <w:szCs w:val="18"/>
              </w:rPr>
            </w:pPr>
          </w:p>
        </w:tc>
        <w:tc>
          <w:tcPr>
            <w:tcW w:w="1020" w:type="dxa"/>
            <w:tcBorders>
              <w:top w:val="nil"/>
              <w:left w:val="nil"/>
              <w:bottom w:val="nil"/>
              <w:right w:val="nil"/>
            </w:tcBorders>
            <w:tcMar>
              <w:top w:w="20" w:type="dxa"/>
              <w:left w:w="20" w:type="dxa"/>
              <w:bottom w:w="100" w:type="dxa"/>
              <w:right w:w="20" w:type="dxa"/>
            </w:tcMar>
          </w:tcPr>
          <w:p w14:paraId="22246AAB" w14:textId="77777777" w:rsidR="00340A38" w:rsidRDefault="00340A38">
            <w:pPr>
              <w:spacing w:after="0" w:line="240" w:lineRule="auto"/>
              <w:jc w:val="center"/>
              <w:rPr>
                <w:sz w:val="18"/>
                <w:szCs w:val="18"/>
              </w:rPr>
            </w:pPr>
          </w:p>
        </w:tc>
        <w:tc>
          <w:tcPr>
            <w:tcW w:w="1260" w:type="dxa"/>
            <w:tcBorders>
              <w:top w:val="nil"/>
              <w:left w:val="nil"/>
              <w:bottom w:val="nil"/>
              <w:right w:val="nil"/>
            </w:tcBorders>
            <w:tcMar>
              <w:top w:w="20" w:type="dxa"/>
              <w:left w:w="20" w:type="dxa"/>
              <w:bottom w:w="100" w:type="dxa"/>
              <w:right w:w="20" w:type="dxa"/>
            </w:tcMar>
          </w:tcPr>
          <w:p w14:paraId="6A1CF07E" w14:textId="77777777" w:rsidR="00340A38" w:rsidRDefault="00340A38">
            <w:pPr>
              <w:spacing w:after="0" w:line="240" w:lineRule="auto"/>
              <w:jc w:val="center"/>
              <w:rPr>
                <w:sz w:val="18"/>
                <w:szCs w:val="18"/>
              </w:rPr>
            </w:pPr>
          </w:p>
        </w:tc>
        <w:tc>
          <w:tcPr>
            <w:tcW w:w="1095" w:type="dxa"/>
            <w:tcBorders>
              <w:top w:val="nil"/>
              <w:left w:val="nil"/>
              <w:bottom w:val="nil"/>
              <w:right w:val="nil"/>
            </w:tcBorders>
            <w:tcMar>
              <w:top w:w="20" w:type="dxa"/>
              <w:left w:w="20" w:type="dxa"/>
              <w:bottom w:w="100" w:type="dxa"/>
              <w:right w:w="20" w:type="dxa"/>
            </w:tcMar>
          </w:tcPr>
          <w:p w14:paraId="734311D3" w14:textId="77777777" w:rsidR="00340A38" w:rsidRDefault="00340A38">
            <w:pPr>
              <w:spacing w:after="0" w:line="240" w:lineRule="auto"/>
              <w:jc w:val="center"/>
              <w:rPr>
                <w:sz w:val="18"/>
                <w:szCs w:val="18"/>
              </w:rPr>
            </w:pPr>
          </w:p>
        </w:tc>
        <w:tc>
          <w:tcPr>
            <w:tcW w:w="1035" w:type="dxa"/>
            <w:tcBorders>
              <w:top w:val="nil"/>
              <w:left w:val="nil"/>
              <w:bottom w:val="nil"/>
              <w:right w:val="nil"/>
            </w:tcBorders>
            <w:tcMar>
              <w:top w:w="20" w:type="dxa"/>
              <w:left w:w="20" w:type="dxa"/>
              <w:bottom w:w="100" w:type="dxa"/>
              <w:right w:w="20" w:type="dxa"/>
            </w:tcMar>
          </w:tcPr>
          <w:p w14:paraId="6F0FB5C0" w14:textId="77777777" w:rsidR="00340A38" w:rsidRDefault="00340A38">
            <w:pPr>
              <w:spacing w:after="0" w:line="240" w:lineRule="auto"/>
              <w:jc w:val="center"/>
              <w:rPr>
                <w:sz w:val="18"/>
                <w:szCs w:val="18"/>
              </w:rPr>
            </w:pPr>
          </w:p>
        </w:tc>
        <w:tc>
          <w:tcPr>
            <w:tcW w:w="1260" w:type="dxa"/>
            <w:tcBorders>
              <w:top w:val="nil"/>
              <w:left w:val="nil"/>
              <w:bottom w:val="nil"/>
              <w:right w:val="nil"/>
            </w:tcBorders>
            <w:tcMar>
              <w:top w:w="20" w:type="dxa"/>
              <w:left w:w="20" w:type="dxa"/>
              <w:bottom w:w="100" w:type="dxa"/>
              <w:right w:w="20" w:type="dxa"/>
            </w:tcMar>
          </w:tcPr>
          <w:p w14:paraId="48BC6862" w14:textId="77777777" w:rsidR="00340A38" w:rsidRDefault="00340A38">
            <w:pPr>
              <w:spacing w:after="0" w:line="240" w:lineRule="auto"/>
              <w:jc w:val="center"/>
              <w:rPr>
                <w:sz w:val="18"/>
                <w:szCs w:val="18"/>
              </w:rPr>
            </w:pPr>
          </w:p>
        </w:tc>
        <w:tc>
          <w:tcPr>
            <w:tcW w:w="870" w:type="dxa"/>
            <w:tcBorders>
              <w:top w:val="nil"/>
              <w:left w:val="nil"/>
              <w:bottom w:val="nil"/>
              <w:right w:val="nil"/>
            </w:tcBorders>
            <w:tcMar>
              <w:top w:w="20" w:type="dxa"/>
              <w:left w:w="20" w:type="dxa"/>
              <w:bottom w:w="100" w:type="dxa"/>
              <w:right w:w="20" w:type="dxa"/>
            </w:tcMar>
          </w:tcPr>
          <w:p w14:paraId="7EFD4526" w14:textId="77777777" w:rsidR="00340A38" w:rsidRDefault="00340A38">
            <w:pPr>
              <w:spacing w:after="0" w:line="240" w:lineRule="auto"/>
              <w:jc w:val="center"/>
              <w:rPr>
                <w:sz w:val="18"/>
                <w:szCs w:val="18"/>
              </w:rPr>
            </w:pPr>
          </w:p>
        </w:tc>
        <w:tc>
          <w:tcPr>
            <w:tcW w:w="1200" w:type="dxa"/>
            <w:tcBorders>
              <w:top w:val="nil"/>
              <w:left w:val="nil"/>
              <w:bottom w:val="nil"/>
              <w:right w:val="nil"/>
            </w:tcBorders>
            <w:tcMar>
              <w:top w:w="20" w:type="dxa"/>
              <w:left w:w="20" w:type="dxa"/>
              <w:bottom w:w="100" w:type="dxa"/>
              <w:right w:w="20" w:type="dxa"/>
            </w:tcMar>
          </w:tcPr>
          <w:p w14:paraId="5552C2EE" w14:textId="77777777" w:rsidR="00340A38" w:rsidRDefault="00340A38">
            <w:pPr>
              <w:spacing w:after="0" w:line="240" w:lineRule="auto"/>
              <w:jc w:val="center"/>
              <w:rPr>
                <w:sz w:val="18"/>
                <w:szCs w:val="18"/>
              </w:rPr>
            </w:pPr>
          </w:p>
        </w:tc>
        <w:tc>
          <w:tcPr>
            <w:tcW w:w="1440" w:type="dxa"/>
            <w:tcBorders>
              <w:top w:val="nil"/>
              <w:left w:val="nil"/>
              <w:bottom w:val="nil"/>
              <w:right w:val="nil"/>
            </w:tcBorders>
            <w:tcMar>
              <w:top w:w="20" w:type="dxa"/>
              <w:left w:w="20" w:type="dxa"/>
              <w:bottom w:w="100" w:type="dxa"/>
              <w:right w:w="20" w:type="dxa"/>
            </w:tcMar>
          </w:tcPr>
          <w:p w14:paraId="630D1587" w14:textId="77777777" w:rsidR="00340A38" w:rsidRDefault="00340A38">
            <w:pPr>
              <w:spacing w:after="0" w:line="240" w:lineRule="auto"/>
              <w:jc w:val="center"/>
              <w:rPr>
                <w:sz w:val="18"/>
                <w:szCs w:val="18"/>
              </w:rPr>
            </w:pPr>
          </w:p>
        </w:tc>
      </w:tr>
      <w:tr w:rsidR="00340A38" w14:paraId="6B2E73E8" w14:textId="77777777">
        <w:trPr>
          <w:trHeight w:val="315"/>
        </w:trPr>
        <w:tc>
          <w:tcPr>
            <w:tcW w:w="855" w:type="dxa"/>
            <w:tcBorders>
              <w:top w:val="nil"/>
              <w:left w:val="nil"/>
              <w:bottom w:val="nil"/>
              <w:right w:val="nil"/>
            </w:tcBorders>
            <w:tcMar>
              <w:top w:w="20" w:type="dxa"/>
              <w:left w:w="20" w:type="dxa"/>
              <w:bottom w:w="100" w:type="dxa"/>
              <w:right w:w="20" w:type="dxa"/>
            </w:tcMar>
          </w:tcPr>
          <w:p w14:paraId="787E4A6F" w14:textId="77777777" w:rsidR="00340A38" w:rsidRDefault="00000000">
            <w:pPr>
              <w:spacing w:after="0" w:line="240" w:lineRule="auto"/>
              <w:jc w:val="center"/>
              <w:rPr>
                <w:sz w:val="18"/>
                <w:szCs w:val="18"/>
              </w:rPr>
            </w:pPr>
            <w:r>
              <w:rPr>
                <w:sz w:val="18"/>
                <w:szCs w:val="18"/>
              </w:rPr>
              <w:t>CEO2</w:t>
            </w:r>
          </w:p>
        </w:tc>
        <w:tc>
          <w:tcPr>
            <w:tcW w:w="1020" w:type="dxa"/>
            <w:tcBorders>
              <w:top w:val="nil"/>
              <w:left w:val="nil"/>
              <w:bottom w:val="nil"/>
              <w:right w:val="nil"/>
            </w:tcBorders>
            <w:tcMar>
              <w:top w:w="20" w:type="dxa"/>
              <w:left w:w="20" w:type="dxa"/>
              <w:bottom w:w="100" w:type="dxa"/>
              <w:right w:w="20" w:type="dxa"/>
            </w:tcMar>
          </w:tcPr>
          <w:p w14:paraId="1FFA79F7" w14:textId="77777777" w:rsidR="00340A38" w:rsidRDefault="00000000">
            <w:pPr>
              <w:spacing w:after="0" w:line="240" w:lineRule="auto"/>
              <w:jc w:val="center"/>
              <w:rPr>
                <w:sz w:val="18"/>
                <w:szCs w:val="18"/>
              </w:rPr>
            </w:pPr>
            <w:r>
              <w:rPr>
                <w:sz w:val="18"/>
                <w:szCs w:val="18"/>
              </w:rPr>
              <w:t>-0.0357**</w:t>
            </w:r>
          </w:p>
        </w:tc>
        <w:tc>
          <w:tcPr>
            <w:tcW w:w="1260" w:type="dxa"/>
            <w:tcBorders>
              <w:top w:val="nil"/>
              <w:left w:val="nil"/>
              <w:bottom w:val="nil"/>
              <w:right w:val="nil"/>
            </w:tcBorders>
            <w:tcMar>
              <w:top w:w="20" w:type="dxa"/>
              <w:left w:w="20" w:type="dxa"/>
              <w:bottom w:w="100" w:type="dxa"/>
              <w:right w:w="20" w:type="dxa"/>
            </w:tcMar>
          </w:tcPr>
          <w:p w14:paraId="6725B2F3" w14:textId="77777777" w:rsidR="00340A38" w:rsidRDefault="00000000">
            <w:pPr>
              <w:spacing w:after="0" w:line="240" w:lineRule="auto"/>
              <w:jc w:val="center"/>
              <w:rPr>
                <w:sz w:val="18"/>
                <w:szCs w:val="18"/>
              </w:rPr>
            </w:pPr>
            <w:r>
              <w:rPr>
                <w:sz w:val="18"/>
                <w:szCs w:val="18"/>
              </w:rPr>
              <w:t>0.00480***</w:t>
            </w:r>
          </w:p>
        </w:tc>
        <w:tc>
          <w:tcPr>
            <w:tcW w:w="1095" w:type="dxa"/>
            <w:tcBorders>
              <w:top w:val="nil"/>
              <w:left w:val="nil"/>
              <w:bottom w:val="nil"/>
              <w:right w:val="nil"/>
            </w:tcBorders>
            <w:tcMar>
              <w:top w:w="20" w:type="dxa"/>
              <w:left w:w="20" w:type="dxa"/>
              <w:bottom w:w="100" w:type="dxa"/>
              <w:right w:w="20" w:type="dxa"/>
            </w:tcMar>
          </w:tcPr>
          <w:p w14:paraId="2C4EF34A" w14:textId="77777777" w:rsidR="00340A38" w:rsidRDefault="00000000">
            <w:pPr>
              <w:spacing w:after="0" w:line="240" w:lineRule="auto"/>
              <w:jc w:val="center"/>
              <w:rPr>
                <w:sz w:val="18"/>
                <w:szCs w:val="18"/>
              </w:rPr>
            </w:pPr>
            <w:r>
              <w:rPr>
                <w:sz w:val="18"/>
                <w:szCs w:val="18"/>
              </w:rPr>
              <w:t>0.0153**</w:t>
            </w:r>
          </w:p>
        </w:tc>
        <w:tc>
          <w:tcPr>
            <w:tcW w:w="1035" w:type="dxa"/>
            <w:tcBorders>
              <w:top w:val="nil"/>
              <w:left w:val="nil"/>
              <w:bottom w:val="nil"/>
              <w:right w:val="nil"/>
            </w:tcBorders>
            <w:tcMar>
              <w:top w:w="20" w:type="dxa"/>
              <w:left w:w="20" w:type="dxa"/>
              <w:bottom w:w="100" w:type="dxa"/>
              <w:right w:w="20" w:type="dxa"/>
            </w:tcMar>
          </w:tcPr>
          <w:p w14:paraId="6BD81DA5" w14:textId="77777777" w:rsidR="00340A38" w:rsidRDefault="00000000">
            <w:pPr>
              <w:spacing w:after="0" w:line="240" w:lineRule="auto"/>
              <w:jc w:val="center"/>
              <w:rPr>
                <w:sz w:val="18"/>
                <w:szCs w:val="18"/>
              </w:rPr>
            </w:pPr>
            <w:r>
              <w:rPr>
                <w:sz w:val="18"/>
                <w:szCs w:val="18"/>
              </w:rPr>
              <w:t>-0.00898**</w:t>
            </w:r>
          </w:p>
        </w:tc>
        <w:tc>
          <w:tcPr>
            <w:tcW w:w="1260" w:type="dxa"/>
            <w:tcBorders>
              <w:top w:val="nil"/>
              <w:left w:val="nil"/>
              <w:bottom w:val="nil"/>
              <w:right w:val="nil"/>
            </w:tcBorders>
            <w:tcMar>
              <w:top w:w="20" w:type="dxa"/>
              <w:left w:w="20" w:type="dxa"/>
              <w:bottom w:w="100" w:type="dxa"/>
              <w:right w:w="20" w:type="dxa"/>
            </w:tcMar>
          </w:tcPr>
          <w:p w14:paraId="5CF632E2" w14:textId="77777777" w:rsidR="00340A38" w:rsidRDefault="00000000">
            <w:pPr>
              <w:spacing w:after="0" w:line="240" w:lineRule="auto"/>
              <w:jc w:val="center"/>
              <w:rPr>
                <w:sz w:val="18"/>
                <w:szCs w:val="18"/>
              </w:rPr>
            </w:pPr>
            <w:r>
              <w:rPr>
                <w:sz w:val="18"/>
                <w:szCs w:val="18"/>
              </w:rPr>
              <w:t>-0.0007</w:t>
            </w:r>
          </w:p>
        </w:tc>
        <w:tc>
          <w:tcPr>
            <w:tcW w:w="870" w:type="dxa"/>
            <w:tcBorders>
              <w:top w:val="nil"/>
              <w:left w:val="nil"/>
              <w:bottom w:val="nil"/>
              <w:right w:val="nil"/>
            </w:tcBorders>
            <w:tcMar>
              <w:top w:w="20" w:type="dxa"/>
              <w:left w:w="20" w:type="dxa"/>
              <w:bottom w:w="100" w:type="dxa"/>
              <w:right w:w="20" w:type="dxa"/>
            </w:tcMar>
          </w:tcPr>
          <w:p w14:paraId="6C0AF02D" w14:textId="77777777" w:rsidR="00340A38" w:rsidRDefault="00000000">
            <w:pPr>
              <w:spacing w:after="0" w:line="240" w:lineRule="auto"/>
              <w:jc w:val="center"/>
              <w:rPr>
                <w:sz w:val="18"/>
                <w:szCs w:val="18"/>
              </w:rPr>
            </w:pPr>
            <w:r>
              <w:rPr>
                <w:sz w:val="18"/>
                <w:szCs w:val="18"/>
              </w:rPr>
              <w:t>0.00618</w:t>
            </w:r>
          </w:p>
        </w:tc>
        <w:tc>
          <w:tcPr>
            <w:tcW w:w="1200" w:type="dxa"/>
            <w:tcBorders>
              <w:top w:val="nil"/>
              <w:left w:val="nil"/>
              <w:bottom w:val="nil"/>
              <w:right w:val="nil"/>
            </w:tcBorders>
            <w:tcMar>
              <w:top w:w="20" w:type="dxa"/>
              <w:left w:w="20" w:type="dxa"/>
              <w:bottom w:w="100" w:type="dxa"/>
              <w:right w:w="20" w:type="dxa"/>
            </w:tcMar>
          </w:tcPr>
          <w:p w14:paraId="7AACD3A6" w14:textId="77777777" w:rsidR="00340A38" w:rsidRDefault="00000000">
            <w:pPr>
              <w:spacing w:after="0" w:line="240" w:lineRule="auto"/>
              <w:jc w:val="center"/>
              <w:rPr>
                <w:sz w:val="18"/>
                <w:szCs w:val="18"/>
              </w:rPr>
            </w:pPr>
            <w:r>
              <w:rPr>
                <w:sz w:val="18"/>
                <w:szCs w:val="18"/>
              </w:rPr>
              <w:t>0.0114***</w:t>
            </w:r>
          </w:p>
        </w:tc>
        <w:tc>
          <w:tcPr>
            <w:tcW w:w="1440" w:type="dxa"/>
            <w:tcBorders>
              <w:top w:val="nil"/>
              <w:left w:val="nil"/>
              <w:bottom w:val="nil"/>
              <w:right w:val="nil"/>
            </w:tcBorders>
            <w:tcMar>
              <w:top w:w="20" w:type="dxa"/>
              <w:left w:w="20" w:type="dxa"/>
              <w:bottom w:w="100" w:type="dxa"/>
              <w:right w:w="20" w:type="dxa"/>
            </w:tcMar>
          </w:tcPr>
          <w:p w14:paraId="53407752" w14:textId="77777777" w:rsidR="00340A38" w:rsidRDefault="00000000">
            <w:pPr>
              <w:spacing w:after="0" w:line="240" w:lineRule="auto"/>
              <w:jc w:val="center"/>
              <w:rPr>
                <w:sz w:val="18"/>
                <w:szCs w:val="18"/>
              </w:rPr>
            </w:pPr>
            <w:r>
              <w:rPr>
                <w:sz w:val="18"/>
                <w:szCs w:val="18"/>
              </w:rPr>
              <w:t>0.0035</w:t>
            </w:r>
          </w:p>
        </w:tc>
      </w:tr>
      <w:tr w:rsidR="00340A38" w14:paraId="65195889" w14:textId="77777777">
        <w:trPr>
          <w:trHeight w:val="315"/>
        </w:trPr>
        <w:tc>
          <w:tcPr>
            <w:tcW w:w="855" w:type="dxa"/>
            <w:tcBorders>
              <w:top w:val="nil"/>
              <w:left w:val="nil"/>
              <w:bottom w:val="nil"/>
              <w:right w:val="nil"/>
            </w:tcBorders>
            <w:tcMar>
              <w:top w:w="20" w:type="dxa"/>
              <w:left w:w="20" w:type="dxa"/>
              <w:bottom w:w="100" w:type="dxa"/>
              <w:right w:w="20" w:type="dxa"/>
            </w:tcMar>
          </w:tcPr>
          <w:p w14:paraId="7021736E" w14:textId="77777777" w:rsidR="00340A38" w:rsidRDefault="00340A38">
            <w:pPr>
              <w:spacing w:after="0" w:line="240" w:lineRule="auto"/>
              <w:jc w:val="center"/>
              <w:rPr>
                <w:sz w:val="18"/>
                <w:szCs w:val="18"/>
              </w:rPr>
            </w:pPr>
          </w:p>
        </w:tc>
        <w:tc>
          <w:tcPr>
            <w:tcW w:w="1020" w:type="dxa"/>
            <w:tcBorders>
              <w:top w:val="nil"/>
              <w:left w:val="nil"/>
              <w:bottom w:val="nil"/>
              <w:right w:val="nil"/>
            </w:tcBorders>
            <w:tcMar>
              <w:top w:w="20" w:type="dxa"/>
              <w:left w:w="20" w:type="dxa"/>
              <w:bottom w:w="100" w:type="dxa"/>
              <w:right w:w="20" w:type="dxa"/>
            </w:tcMar>
          </w:tcPr>
          <w:p w14:paraId="4E562F3B" w14:textId="77777777" w:rsidR="00340A38" w:rsidRDefault="00000000">
            <w:pPr>
              <w:spacing w:after="0" w:line="240" w:lineRule="auto"/>
              <w:jc w:val="center"/>
              <w:rPr>
                <w:sz w:val="18"/>
                <w:szCs w:val="18"/>
              </w:rPr>
            </w:pPr>
            <w:r>
              <w:rPr>
                <w:sz w:val="18"/>
                <w:szCs w:val="18"/>
              </w:rPr>
              <w:t>-0.0156</w:t>
            </w:r>
          </w:p>
        </w:tc>
        <w:tc>
          <w:tcPr>
            <w:tcW w:w="1260" w:type="dxa"/>
            <w:tcBorders>
              <w:top w:val="nil"/>
              <w:left w:val="nil"/>
              <w:bottom w:val="nil"/>
              <w:right w:val="nil"/>
            </w:tcBorders>
            <w:tcMar>
              <w:top w:w="20" w:type="dxa"/>
              <w:left w:w="20" w:type="dxa"/>
              <w:bottom w:w="100" w:type="dxa"/>
              <w:right w:w="20" w:type="dxa"/>
            </w:tcMar>
          </w:tcPr>
          <w:p w14:paraId="5B5ED667" w14:textId="77777777" w:rsidR="00340A38" w:rsidRDefault="00000000">
            <w:pPr>
              <w:spacing w:after="0" w:line="240" w:lineRule="auto"/>
              <w:jc w:val="center"/>
              <w:rPr>
                <w:sz w:val="18"/>
                <w:szCs w:val="18"/>
              </w:rPr>
            </w:pPr>
            <w:r>
              <w:rPr>
                <w:sz w:val="18"/>
                <w:szCs w:val="18"/>
              </w:rPr>
              <w:t>-0.00111</w:t>
            </w:r>
          </w:p>
        </w:tc>
        <w:tc>
          <w:tcPr>
            <w:tcW w:w="1095" w:type="dxa"/>
            <w:tcBorders>
              <w:top w:val="nil"/>
              <w:left w:val="nil"/>
              <w:bottom w:val="nil"/>
              <w:right w:val="nil"/>
            </w:tcBorders>
            <w:tcMar>
              <w:top w:w="20" w:type="dxa"/>
              <w:left w:w="20" w:type="dxa"/>
              <w:bottom w:w="100" w:type="dxa"/>
              <w:right w:w="20" w:type="dxa"/>
            </w:tcMar>
          </w:tcPr>
          <w:p w14:paraId="605423CE" w14:textId="77777777" w:rsidR="00340A38" w:rsidRDefault="00000000">
            <w:pPr>
              <w:spacing w:after="0" w:line="240" w:lineRule="auto"/>
              <w:jc w:val="center"/>
              <w:rPr>
                <w:sz w:val="18"/>
                <w:szCs w:val="18"/>
              </w:rPr>
            </w:pPr>
            <w:r>
              <w:rPr>
                <w:sz w:val="18"/>
                <w:szCs w:val="18"/>
              </w:rPr>
              <w:t>-0.00698</w:t>
            </w:r>
          </w:p>
        </w:tc>
        <w:tc>
          <w:tcPr>
            <w:tcW w:w="1035" w:type="dxa"/>
            <w:tcBorders>
              <w:top w:val="nil"/>
              <w:left w:val="nil"/>
              <w:bottom w:val="nil"/>
              <w:right w:val="nil"/>
            </w:tcBorders>
            <w:tcMar>
              <w:top w:w="20" w:type="dxa"/>
              <w:left w:w="20" w:type="dxa"/>
              <w:bottom w:w="100" w:type="dxa"/>
              <w:right w:w="20" w:type="dxa"/>
            </w:tcMar>
          </w:tcPr>
          <w:p w14:paraId="16EE6F61" w14:textId="77777777" w:rsidR="00340A38" w:rsidRDefault="00000000">
            <w:pPr>
              <w:spacing w:after="0" w:line="240" w:lineRule="auto"/>
              <w:jc w:val="center"/>
              <w:rPr>
                <w:sz w:val="18"/>
                <w:szCs w:val="18"/>
              </w:rPr>
            </w:pPr>
            <w:r>
              <w:rPr>
                <w:sz w:val="18"/>
                <w:szCs w:val="18"/>
              </w:rPr>
              <w:t>-0.00426</w:t>
            </w:r>
          </w:p>
        </w:tc>
        <w:tc>
          <w:tcPr>
            <w:tcW w:w="1260" w:type="dxa"/>
            <w:tcBorders>
              <w:top w:val="nil"/>
              <w:left w:val="nil"/>
              <w:bottom w:val="nil"/>
              <w:right w:val="nil"/>
            </w:tcBorders>
            <w:tcMar>
              <w:top w:w="20" w:type="dxa"/>
              <w:left w:w="20" w:type="dxa"/>
              <w:bottom w:w="100" w:type="dxa"/>
              <w:right w:w="20" w:type="dxa"/>
            </w:tcMar>
          </w:tcPr>
          <w:p w14:paraId="54339209" w14:textId="77777777" w:rsidR="00340A38" w:rsidRDefault="00000000">
            <w:pPr>
              <w:spacing w:after="0" w:line="240" w:lineRule="auto"/>
              <w:jc w:val="center"/>
              <w:rPr>
                <w:sz w:val="18"/>
                <w:szCs w:val="18"/>
              </w:rPr>
            </w:pPr>
            <w:r>
              <w:rPr>
                <w:sz w:val="18"/>
                <w:szCs w:val="18"/>
              </w:rPr>
              <w:t>-0.00695</w:t>
            </w:r>
          </w:p>
        </w:tc>
        <w:tc>
          <w:tcPr>
            <w:tcW w:w="870" w:type="dxa"/>
            <w:tcBorders>
              <w:top w:val="nil"/>
              <w:left w:val="nil"/>
              <w:bottom w:val="nil"/>
              <w:right w:val="nil"/>
            </w:tcBorders>
            <w:tcMar>
              <w:top w:w="20" w:type="dxa"/>
              <w:left w:w="20" w:type="dxa"/>
              <w:bottom w:w="100" w:type="dxa"/>
              <w:right w:w="20" w:type="dxa"/>
            </w:tcMar>
          </w:tcPr>
          <w:p w14:paraId="59764D24" w14:textId="77777777" w:rsidR="00340A38" w:rsidRDefault="00000000">
            <w:pPr>
              <w:spacing w:after="0" w:line="240" w:lineRule="auto"/>
              <w:jc w:val="center"/>
              <w:rPr>
                <w:sz w:val="18"/>
                <w:szCs w:val="18"/>
              </w:rPr>
            </w:pPr>
            <w:r>
              <w:rPr>
                <w:sz w:val="18"/>
                <w:szCs w:val="18"/>
              </w:rPr>
              <w:t>-0.00603</w:t>
            </w:r>
          </w:p>
        </w:tc>
        <w:tc>
          <w:tcPr>
            <w:tcW w:w="1200" w:type="dxa"/>
            <w:tcBorders>
              <w:top w:val="nil"/>
              <w:left w:val="nil"/>
              <w:bottom w:val="nil"/>
              <w:right w:val="nil"/>
            </w:tcBorders>
            <w:tcMar>
              <w:top w:w="20" w:type="dxa"/>
              <w:left w:w="20" w:type="dxa"/>
              <w:bottom w:w="100" w:type="dxa"/>
              <w:right w:w="20" w:type="dxa"/>
            </w:tcMar>
          </w:tcPr>
          <w:p w14:paraId="2A7A512B" w14:textId="77777777" w:rsidR="00340A38" w:rsidRDefault="00000000">
            <w:pPr>
              <w:spacing w:after="0" w:line="240" w:lineRule="auto"/>
              <w:jc w:val="center"/>
              <w:rPr>
                <w:sz w:val="18"/>
                <w:szCs w:val="18"/>
              </w:rPr>
            </w:pPr>
            <w:r>
              <w:rPr>
                <w:sz w:val="18"/>
                <w:szCs w:val="18"/>
              </w:rPr>
              <w:t>-0.00422</w:t>
            </w:r>
          </w:p>
        </w:tc>
        <w:tc>
          <w:tcPr>
            <w:tcW w:w="1440" w:type="dxa"/>
            <w:tcBorders>
              <w:top w:val="nil"/>
              <w:left w:val="nil"/>
              <w:bottom w:val="nil"/>
              <w:right w:val="nil"/>
            </w:tcBorders>
            <w:tcMar>
              <w:top w:w="20" w:type="dxa"/>
              <w:left w:w="20" w:type="dxa"/>
              <w:bottom w:w="100" w:type="dxa"/>
              <w:right w:w="20" w:type="dxa"/>
            </w:tcMar>
          </w:tcPr>
          <w:p w14:paraId="3188B876" w14:textId="77777777" w:rsidR="00340A38" w:rsidRDefault="00000000">
            <w:pPr>
              <w:spacing w:after="0" w:line="240" w:lineRule="auto"/>
              <w:jc w:val="center"/>
              <w:rPr>
                <w:sz w:val="18"/>
                <w:szCs w:val="18"/>
              </w:rPr>
            </w:pPr>
            <w:r>
              <w:rPr>
                <w:sz w:val="18"/>
                <w:szCs w:val="18"/>
              </w:rPr>
              <w:t>-0.0112</w:t>
            </w:r>
          </w:p>
        </w:tc>
      </w:tr>
      <w:tr w:rsidR="00340A38" w14:paraId="126005FB" w14:textId="77777777">
        <w:trPr>
          <w:trHeight w:val="315"/>
        </w:trPr>
        <w:tc>
          <w:tcPr>
            <w:tcW w:w="855" w:type="dxa"/>
            <w:tcBorders>
              <w:top w:val="nil"/>
              <w:left w:val="nil"/>
              <w:bottom w:val="nil"/>
              <w:right w:val="nil"/>
            </w:tcBorders>
            <w:tcMar>
              <w:top w:w="20" w:type="dxa"/>
              <w:left w:w="20" w:type="dxa"/>
              <w:bottom w:w="100" w:type="dxa"/>
              <w:right w:w="20" w:type="dxa"/>
            </w:tcMar>
          </w:tcPr>
          <w:p w14:paraId="18667F86" w14:textId="77777777" w:rsidR="00340A38" w:rsidRDefault="00000000">
            <w:pPr>
              <w:spacing w:after="0" w:line="240" w:lineRule="auto"/>
              <w:jc w:val="center"/>
              <w:rPr>
                <w:sz w:val="18"/>
                <w:szCs w:val="18"/>
              </w:rPr>
            </w:pPr>
            <w:r>
              <w:rPr>
                <w:sz w:val="18"/>
                <w:szCs w:val="18"/>
              </w:rPr>
              <w:t>BOD1</w:t>
            </w:r>
          </w:p>
        </w:tc>
        <w:tc>
          <w:tcPr>
            <w:tcW w:w="1020" w:type="dxa"/>
            <w:tcBorders>
              <w:top w:val="nil"/>
              <w:left w:val="nil"/>
              <w:bottom w:val="nil"/>
              <w:right w:val="nil"/>
            </w:tcBorders>
            <w:tcMar>
              <w:top w:w="20" w:type="dxa"/>
              <w:left w:w="20" w:type="dxa"/>
              <w:bottom w:w="100" w:type="dxa"/>
              <w:right w:w="20" w:type="dxa"/>
            </w:tcMar>
          </w:tcPr>
          <w:p w14:paraId="2F3705E8" w14:textId="77777777" w:rsidR="00340A38" w:rsidRDefault="00000000">
            <w:pPr>
              <w:spacing w:after="0" w:line="240" w:lineRule="auto"/>
              <w:jc w:val="center"/>
              <w:rPr>
                <w:sz w:val="18"/>
                <w:szCs w:val="18"/>
              </w:rPr>
            </w:pPr>
            <w:r>
              <w:rPr>
                <w:sz w:val="18"/>
                <w:szCs w:val="18"/>
              </w:rPr>
              <w:t>-0.0224*</w:t>
            </w:r>
          </w:p>
        </w:tc>
        <w:tc>
          <w:tcPr>
            <w:tcW w:w="1260" w:type="dxa"/>
            <w:tcBorders>
              <w:top w:val="nil"/>
              <w:left w:val="nil"/>
              <w:bottom w:val="nil"/>
              <w:right w:val="nil"/>
            </w:tcBorders>
            <w:tcMar>
              <w:top w:w="20" w:type="dxa"/>
              <w:left w:w="20" w:type="dxa"/>
              <w:bottom w:w="100" w:type="dxa"/>
              <w:right w:w="20" w:type="dxa"/>
            </w:tcMar>
          </w:tcPr>
          <w:p w14:paraId="6CEA6108" w14:textId="77777777" w:rsidR="00340A38" w:rsidRDefault="00000000">
            <w:pPr>
              <w:spacing w:after="0" w:line="240" w:lineRule="auto"/>
              <w:jc w:val="center"/>
              <w:rPr>
                <w:sz w:val="18"/>
                <w:szCs w:val="18"/>
              </w:rPr>
            </w:pPr>
            <w:r>
              <w:rPr>
                <w:sz w:val="18"/>
                <w:szCs w:val="18"/>
              </w:rPr>
              <w:t>-0.00265**</w:t>
            </w:r>
          </w:p>
        </w:tc>
        <w:tc>
          <w:tcPr>
            <w:tcW w:w="1095" w:type="dxa"/>
            <w:tcBorders>
              <w:top w:val="nil"/>
              <w:left w:val="nil"/>
              <w:bottom w:val="nil"/>
              <w:right w:val="nil"/>
            </w:tcBorders>
            <w:tcMar>
              <w:top w:w="20" w:type="dxa"/>
              <w:left w:w="20" w:type="dxa"/>
              <w:bottom w:w="100" w:type="dxa"/>
              <w:right w:w="20" w:type="dxa"/>
            </w:tcMar>
          </w:tcPr>
          <w:p w14:paraId="7699623E" w14:textId="77777777" w:rsidR="00340A38" w:rsidRDefault="00000000">
            <w:pPr>
              <w:spacing w:after="0" w:line="240" w:lineRule="auto"/>
              <w:jc w:val="center"/>
              <w:rPr>
                <w:sz w:val="18"/>
                <w:szCs w:val="18"/>
              </w:rPr>
            </w:pPr>
            <w:r>
              <w:rPr>
                <w:sz w:val="18"/>
                <w:szCs w:val="18"/>
              </w:rPr>
              <w:t>-0.00689</w:t>
            </w:r>
          </w:p>
        </w:tc>
        <w:tc>
          <w:tcPr>
            <w:tcW w:w="1035" w:type="dxa"/>
            <w:tcBorders>
              <w:top w:val="nil"/>
              <w:left w:val="nil"/>
              <w:bottom w:val="nil"/>
              <w:right w:val="nil"/>
            </w:tcBorders>
            <w:tcMar>
              <w:top w:w="20" w:type="dxa"/>
              <w:left w:w="20" w:type="dxa"/>
              <w:bottom w:w="100" w:type="dxa"/>
              <w:right w:w="20" w:type="dxa"/>
            </w:tcMar>
          </w:tcPr>
          <w:p w14:paraId="755AEBC4" w14:textId="77777777" w:rsidR="00340A38" w:rsidRDefault="00000000">
            <w:pPr>
              <w:spacing w:after="0" w:line="240" w:lineRule="auto"/>
              <w:jc w:val="center"/>
              <w:rPr>
                <w:sz w:val="18"/>
                <w:szCs w:val="18"/>
              </w:rPr>
            </w:pPr>
            <w:r>
              <w:rPr>
                <w:sz w:val="18"/>
                <w:szCs w:val="18"/>
              </w:rPr>
              <w:t>0.0216***</w:t>
            </w:r>
          </w:p>
        </w:tc>
        <w:tc>
          <w:tcPr>
            <w:tcW w:w="1260" w:type="dxa"/>
            <w:tcBorders>
              <w:top w:val="nil"/>
              <w:left w:val="nil"/>
              <w:bottom w:val="nil"/>
              <w:right w:val="nil"/>
            </w:tcBorders>
            <w:tcMar>
              <w:top w:w="20" w:type="dxa"/>
              <w:left w:w="20" w:type="dxa"/>
              <w:bottom w:w="100" w:type="dxa"/>
              <w:right w:w="20" w:type="dxa"/>
            </w:tcMar>
          </w:tcPr>
          <w:p w14:paraId="3C13B929" w14:textId="77777777" w:rsidR="00340A38" w:rsidRDefault="00000000">
            <w:pPr>
              <w:spacing w:after="0" w:line="240" w:lineRule="auto"/>
              <w:jc w:val="center"/>
              <w:rPr>
                <w:sz w:val="18"/>
                <w:szCs w:val="18"/>
              </w:rPr>
            </w:pPr>
            <w:r>
              <w:rPr>
                <w:sz w:val="18"/>
                <w:szCs w:val="18"/>
              </w:rPr>
              <w:t>0.00957**</w:t>
            </w:r>
          </w:p>
        </w:tc>
        <w:tc>
          <w:tcPr>
            <w:tcW w:w="870" w:type="dxa"/>
            <w:tcBorders>
              <w:top w:val="nil"/>
              <w:left w:val="nil"/>
              <w:bottom w:val="nil"/>
              <w:right w:val="nil"/>
            </w:tcBorders>
            <w:tcMar>
              <w:top w:w="20" w:type="dxa"/>
              <w:left w:w="20" w:type="dxa"/>
              <w:bottom w:w="100" w:type="dxa"/>
              <w:right w:w="20" w:type="dxa"/>
            </w:tcMar>
          </w:tcPr>
          <w:p w14:paraId="5BB33694" w14:textId="77777777" w:rsidR="00340A38" w:rsidRDefault="00000000">
            <w:pPr>
              <w:spacing w:after="0" w:line="240" w:lineRule="auto"/>
              <w:jc w:val="center"/>
              <w:rPr>
                <w:sz w:val="18"/>
                <w:szCs w:val="18"/>
              </w:rPr>
            </w:pPr>
            <w:r>
              <w:rPr>
                <w:sz w:val="18"/>
                <w:szCs w:val="18"/>
              </w:rPr>
              <w:t>-0.0045</w:t>
            </w:r>
          </w:p>
        </w:tc>
        <w:tc>
          <w:tcPr>
            <w:tcW w:w="1200" w:type="dxa"/>
            <w:tcBorders>
              <w:top w:val="nil"/>
              <w:left w:val="nil"/>
              <w:bottom w:val="nil"/>
              <w:right w:val="nil"/>
            </w:tcBorders>
            <w:tcMar>
              <w:top w:w="20" w:type="dxa"/>
              <w:left w:w="20" w:type="dxa"/>
              <w:bottom w:w="100" w:type="dxa"/>
              <w:right w:w="20" w:type="dxa"/>
            </w:tcMar>
          </w:tcPr>
          <w:p w14:paraId="0541C00F" w14:textId="77777777" w:rsidR="00340A38" w:rsidRDefault="00000000">
            <w:pPr>
              <w:spacing w:after="0" w:line="240" w:lineRule="auto"/>
              <w:jc w:val="center"/>
              <w:rPr>
                <w:sz w:val="18"/>
                <w:szCs w:val="18"/>
              </w:rPr>
            </w:pPr>
            <w:r>
              <w:rPr>
                <w:sz w:val="18"/>
                <w:szCs w:val="18"/>
              </w:rPr>
              <w:t>-0.00263</w:t>
            </w:r>
          </w:p>
        </w:tc>
        <w:tc>
          <w:tcPr>
            <w:tcW w:w="1440" w:type="dxa"/>
            <w:tcBorders>
              <w:top w:val="nil"/>
              <w:left w:val="nil"/>
              <w:bottom w:val="nil"/>
              <w:right w:val="nil"/>
            </w:tcBorders>
            <w:tcMar>
              <w:top w:w="20" w:type="dxa"/>
              <w:left w:w="20" w:type="dxa"/>
              <w:bottom w:w="100" w:type="dxa"/>
              <w:right w:w="20" w:type="dxa"/>
            </w:tcMar>
          </w:tcPr>
          <w:p w14:paraId="4671AF54" w14:textId="77777777" w:rsidR="00340A38" w:rsidRDefault="00000000">
            <w:pPr>
              <w:spacing w:after="0" w:line="240" w:lineRule="auto"/>
              <w:jc w:val="center"/>
              <w:rPr>
                <w:sz w:val="18"/>
                <w:szCs w:val="18"/>
              </w:rPr>
            </w:pPr>
            <w:r>
              <w:rPr>
                <w:sz w:val="18"/>
                <w:szCs w:val="18"/>
              </w:rPr>
              <w:t>-0.00528</w:t>
            </w:r>
          </w:p>
        </w:tc>
      </w:tr>
      <w:tr w:rsidR="00340A38" w14:paraId="5CE2C146" w14:textId="77777777">
        <w:trPr>
          <w:trHeight w:val="315"/>
        </w:trPr>
        <w:tc>
          <w:tcPr>
            <w:tcW w:w="855" w:type="dxa"/>
            <w:tcBorders>
              <w:top w:val="nil"/>
              <w:left w:val="nil"/>
              <w:bottom w:val="nil"/>
              <w:right w:val="nil"/>
            </w:tcBorders>
            <w:tcMar>
              <w:top w:w="20" w:type="dxa"/>
              <w:left w:w="20" w:type="dxa"/>
              <w:bottom w:w="100" w:type="dxa"/>
              <w:right w:w="20" w:type="dxa"/>
            </w:tcMar>
          </w:tcPr>
          <w:p w14:paraId="08D22735" w14:textId="77777777" w:rsidR="00340A38" w:rsidRDefault="00340A38">
            <w:pPr>
              <w:spacing w:after="0" w:line="240" w:lineRule="auto"/>
              <w:jc w:val="center"/>
              <w:rPr>
                <w:sz w:val="18"/>
                <w:szCs w:val="18"/>
              </w:rPr>
            </w:pPr>
          </w:p>
        </w:tc>
        <w:tc>
          <w:tcPr>
            <w:tcW w:w="1020" w:type="dxa"/>
            <w:tcBorders>
              <w:top w:val="nil"/>
              <w:left w:val="nil"/>
              <w:bottom w:val="nil"/>
              <w:right w:val="nil"/>
            </w:tcBorders>
            <w:tcMar>
              <w:top w:w="20" w:type="dxa"/>
              <w:left w:w="20" w:type="dxa"/>
              <w:bottom w:w="100" w:type="dxa"/>
              <w:right w:w="20" w:type="dxa"/>
            </w:tcMar>
          </w:tcPr>
          <w:p w14:paraId="0136D880" w14:textId="77777777" w:rsidR="00340A38" w:rsidRDefault="00000000">
            <w:pPr>
              <w:spacing w:after="0" w:line="240" w:lineRule="auto"/>
              <w:jc w:val="center"/>
              <w:rPr>
                <w:sz w:val="18"/>
                <w:szCs w:val="18"/>
              </w:rPr>
            </w:pPr>
            <w:r>
              <w:rPr>
                <w:sz w:val="18"/>
                <w:szCs w:val="18"/>
              </w:rPr>
              <w:t>-0.0113</w:t>
            </w:r>
          </w:p>
        </w:tc>
        <w:tc>
          <w:tcPr>
            <w:tcW w:w="1260" w:type="dxa"/>
            <w:tcBorders>
              <w:top w:val="nil"/>
              <w:left w:val="nil"/>
              <w:bottom w:val="nil"/>
              <w:right w:val="nil"/>
            </w:tcBorders>
            <w:tcMar>
              <w:top w:w="20" w:type="dxa"/>
              <w:left w:w="20" w:type="dxa"/>
              <w:bottom w:w="100" w:type="dxa"/>
              <w:right w:w="20" w:type="dxa"/>
            </w:tcMar>
          </w:tcPr>
          <w:p w14:paraId="301C5B7A" w14:textId="77777777" w:rsidR="00340A38" w:rsidRDefault="00000000">
            <w:pPr>
              <w:spacing w:after="0" w:line="240" w:lineRule="auto"/>
              <w:jc w:val="center"/>
              <w:rPr>
                <w:sz w:val="18"/>
                <w:szCs w:val="18"/>
              </w:rPr>
            </w:pPr>
            <w:r>
              <w:rPr>
                <w:sz w:val="18"/>
                <w:szCs w:val="18"/>
              </w:rPr>
              <w:t>-0.00127</w:t>
            </w:r>
          </w:p>
        </w:tc>
        <w:tc>
          <w:tcPr>
            <w:tcW w:w="1095" w:type="dxa"/>
            <w:tcBorders>
              <w:top w:val="nil"/>
              <w:left w:val="nil"/>
              <w:bottom w:val="nil"/>
              <w:right w:val="nil"/>
            </w:tcBorders>
            <w:tcMar>
              <w:top w:w="20" w:type="dxa"/>
              <w:left w:w="20" w:type="dxa"/>
              <w:bottom w:w="100" w:type="dxa"/>
              <w:right w:w="20" w:type="dxa"/>
            </w:tcMar>
          </w:tcPr>
          <w:p w14:paraId="4AEE1AE8" w14:textId="77777777" w:rsidR="00340A38" w:rsidRDefault="00000000">
            <w:pPr>
              <w:spacing w:after="0" w:line="240" w:lineRule="auto"/>
              <w:jc w:val="center"/>
              <w:rPr>
                <w:sz w:val="18"/>
                <w:szCs w:val="18"/>
              </w:rPr>
            </w:pPr>
            <w:r>
              <w:rPr>
                <w:sz w:val="18"/>
                <w:szCs w:val="18"/>
              </w:rPr>
              <w:t>-0.00452</w:t>
            </w:r>
          </w:p>
        </w:tc>
        <w:tc>
          <w:tcPr>
            <w:tcW w:w="1035" w:type="dxa"/>
            <w:tcBorders>
              <w:top w:val="nil"/>
              <w:left w:val="nil"/>
              <w:bottom w:val="nil"/>
              <w:right w:val="nil"/>
            </w:tcBorders>
            <w:tcMar>
              <w:top w:w="20" w:type="dxa"/>
              <w:left w:w="20" w:type="dxa"/>
              <w:bottom w:w="100" w:type="dxa"/>
              <w:right w:w="20" w:type="dxa"/>
            </w:tcMar>
          </w:tcPr>
          <w:p w14:paraId="2B8B157B" w14:textId="77777777" w:rsidR="00340A38" w:rsidRDefault="00000000">
            <w:pPr>
              <w:spacing w:after="0" w:line="240" w:lineRule="auto"/>
              <w:jc w:val="center"/>
              <w:rPr>
                <w:sz w:val="18"/>
                <w:szCs w:val="18"/>
              </w:rPr>
            </w:pPr>
            <w:r>
              <w:rPr>
                <w:sz w:val="18"/>
                <w:szCs w:val="18"/>
              </w:rPr>
              <w:t>-0.00409</w:t>
            </w:r>
          </w:p>
        </w:tc>
        <w:tc>
          <w:tcPr>
            <w:tcW w:w="1260" w:type="dxa"/>
            <w:tcBorders>
              <w:top w:val="nil"/>
              <w:left w:val="nil"/>
              <w:bottom w:val="nil"/>
              <w:right w:val="nil"/>
            </w:tcBorders>
            <w:tcMar>
              <w:top w:w="20" w:type="dxa"/>
              <w:left w:w="20" w:type="dxa"/>
              <w:bottom w:w="100" w:type="dxa"/>
              <w:right w:w="20" w:type="dxa"/>
            </w:tcMar>
          </w:tcPr>
          <w:p w14:paraId="11C3CDBA" w14:textId="77777777" w:rsidR="00340A38" w:rsidRDefault="00000000">
            <w:pPr>
              <w:spacing w:after="0" w:line="240" w:lineRule="auto"/>
              <w:jc w:val="center"/>
              <w:rPr>
                <w:sz w:val="18"/>
                <w:szCs w:val="18"/>
              </w:rPr>
            </w:pPr>
            <w:r>
              <w:rPr>
                <w:sz w:val="18"/>
                <w:szCs w:val="18"/>
              </w:rPr>
              <w:t>-0.0045</w:t>
            </w:r>
          </w:p>
        </w:tc>
        <w:tc>
          <w:tcPr>
            <w:tcW w:w="870" w:type="dxa"/>
            <w:tcBorders>
              <w:top w:val="nil"/>
              <w:left w:val="nil"/>
              <w:bottom w:val="nil"/>
              <w:right w:val="nil"/>
            </w:tcBorders>
            <w:tcMar>
              <w:top w:w="20" w:type="dxa"/>
              <w:left w:w="20" w:type="dxa"/>
              <w:bottom w:w="100" w:type="dxa"/>
              <w:right w:w="20" w:type="dxa"/>
            </w:tcMar>
          </w:tcPr>
          <w:p w14:paraId="1FB81B55" w14:textId="77777777" w:rsidR="00340A38" w:rsidRDefault="00000000">
            <w:pPr>
              <w:spacing w:after="0" w:line="240" w:lineRule="auto"/>
              <w:jc w:val="center"/>
              <w:rPr>
                <w:sz w:val="18"/>
                <w:szCs w:val="18"/>
              </w:rPr>
            </w:pPr>
            <w:r>
              <w:rPr>
                <w:sz w:val="18"/>
                <w:szCs w:val="18"/>
              </w:rPr>
              <w:t>-0.0069</w:t>
            </w:r>
          </w:p>
        </w:tc>
        <w:tc>
          <w:tcPr>
            <w:tcW w:w="1200" w:type="dxa"/>
            <w:tcBorders>
              <w:top w:val="nil"/>
              <w:left w:val="nil"/>
              <w:bottom w:val="nil"/>
              <w:right w:val="nil"/>
            </w:tcBorders>
            <w:tcMar>
              <w:top w:w="20" w:type="dxa"/>
              <w:left w:w="20" w:type="dxa"/>
              <w:bottom w:w="100" w:type="dxa"/>
              <w:right w:w="20" w:type="dxa"/>
            </w:tcMar>
          </w:tcPr>
          <w:p w14:paraId="74FD5FA5" w14:textId="77777777" w:rsidR="00340A38" w:rsidRDefault="00000000">
            <w:pPr>
              <w:spacing w:after="0" w:line="240" w:lineRule="auto"/>
              <w:jc w:val="center"/>
              <w:rPr>
                <w:sz w:val="18"/>
                <w:szCs w:val="18"/>
              </w:rPr>
            </w:pPr>
            <w:r>
              <w:rPr>
                <w:sz w:val="18"/>
                <w:szCs w:val="18"/>
              </w:rPr>
              <w:t>-0.00425</w:t>
            </w:r>
          </w:p>
        </w:tc>
        <w:tc>
          <w:tcPr>
            <w:tcW w:w="1440" w:type="dxa"/>
            <w:tcBorders>
              <w:top w:val="nil"/>
              <w:left w:val="nil"/>
              <w:bottom w:val="nil"/>
              <w:right w:val="nil"/>
            </w:tcBorders>
            <w:tcMar>
              <w:top w:w="20" w:type="dxa"/>
              <w:left w:w="20" w:type="dxa"/>
              <w:bottom w:w="100" w:type="dxa"/>
              <w:right w:w="20" w:type="dxa"/>
            </w:tcMar>
          </w:tcPr>
          <w:p w14:paraId="374B3FFE" w14:textId="77777777" w:rsidR="00340A38" w:rsidRDefault="00000000">
            <w:pPr>
              <w:spacing w:after="0" w:line="240" w:lineRule="auto"/>
              <w:jc w:val="center"/>
              <w:rPr>
                <w:sz w:val="18"/>
                <w:szCs w:val="18"/>
              </w:rPr>
            </w:pPr>
            <w:r>
              <w:rPr>
                <w:sz w:val="18"/>
                <w:szCs w:val="18"/>
              </w:rPr>
              <w:t>-0.0172</w:t>
            </w:r>
          </w:p>
        </w:tc>
      </w:tr>
      <w:tr w:rsidR="00340A38" w14:paraId="190BDD13" w14:textId="77777777">
        <w:trPr>
          <w:trHeight w:val="315"/>
        </w:trPr>
        <w:tc>
          <w:tcPr>
            <w:tcW w:w="855" w:type="dxa"/>
            <w:tcBorders>
              <w:top w:val="nil"/>
              <w:left w:val="nil"/>
              <w:bottom w:val="nil"/>
              <w:right w:val="nil"/>
            </w:tcBorders>
            <w:tcMar>
              <w:top w:w="20" w:type="dxa"/>
              <w:left w:w="20" w:type="dxa"/>
              <w:bottom w:w="100" w:type="dxa"/>
              <w:right w:w="20" w:type="dxa"/>
            </w:tcMar>
          </w:tcPr>
          <w:p w14:paraId="021D77A5" w14:textId="77777777" w:rsidR="00340A38" w:rsidRDefault="00000000">
            <w:pPr>
              <w:spacing w:after="0" w:line="240" w:lineRule="auto"/>
              <w:jc w:val="center"/>
              <w:rPr>
                <w:sz w:val="18"/>
                <w:szCs w:val="18"/>
              </w:rPr>
            </w:pPr>
            <w:r>
              <w:rPr>
                <w:sz w:val="18"/>
                <w:szCs w:val="18"/>
              </w:rPr>
              <w:t>IACT</w:t>
            </w:r>
          </w:p>
        </w:tc>
        <w:tc>
          <w:tcPr>
            <w:tcW w:w="1020" w:type="dxa"/>
            <w:tcBorders>
              <w:top w:val="nil"/>
              <w:left w:val="nil"/>
              <w:bottom w:val="nil"/>
              <w:right w:val="nil"/>
            </w:tcBorders>
            <w:tcMar>
              <w:top w:w="20" w:type="dxa"/>
              <w:left w:w="20" w:type="dxa"/>
              <w:bottom w:w="100" w:type="dxa"/>
              <w:right w:w="20" w:type="dxa"/>
            </w:tcMar>
          </w:tcPr>
          <w:p w14:paraId="3F83A6EB" w14:textId="77777777" w:rsidR="00340A38" w:rsidRDefault="00000000">
            <w:pPr>
              <w:spacing w:after="0" w:line="240" w:lineRule="auto"/>
              <w:jc w:val="center"/>
              <w:rPr>
                <w:sz w:val="18"/>
                <w:szCs w:val="18"/>
              </w:rPr>
            </w:pPr>
            <w:r>
              <w:rPr>
                <w:sz w:val="18"/>
                <w:szCs w:val="18"/>
              </w:rPr>
              <w:t>0.223</w:t>
            </w:r>
          </w:p>
        </w:tc>
        <w:tc>
          <w:tcPr>
            <w:tcW w:w="1260" w:type="dxa"/>
            <w:tcBorders>
              <w:top w:val="nil"/>
              <w:left w:val="nil"/>
              <w:bottom w:val="nil"/>
              <w:right w:val="nil"/>
            </w:tcBorders>
            <w:tcMar>
              <w:top w:w="20" w:type="dxa"/>
              <w:left w:w="20" w:type="dxa"/>
              <w:bottom w:w="100" w:type="dxa"/>
              <w:right w:w="20" w:type="dxa"/>
            </w:tcMar>
          </w:tcPr>
          <w:p w14:paraId="38A76522" w14:textId="77777777" w:rsidR="00340A38" w:rsidRDefault="00000000">
            <w:pPr>
              <w:spacing w:after="0" w:line="240" w:lineRule="auto"/>
              <w:jc w:val="center"/>
              <w:rPr>
                <w:sz w:val="18"/>
                <w:szCs w:val="18"/>
              </w:rPr>
            </w:pPr>
            <w:r>
              <w:rPr>
                <w:sz w:val="18"/>
                <w:szCs w:val="18"/>
              </w:rPr>
              <w:t>0.0616***</w:t>
            </w:r>
          </w:p>
        </w:tc>
        <w:tc>
          <w:tcPr>
            <w:tcW w:w="1095" w:type="dxa"/>
            <w:tcBorders>
              <w:top w:val="nil"/>
              <w:left w:val="nil"/>
              <w:bottom w:val="nil"/>
              <w:right w:val="nil"/>
            </w:tcBorders>
            <w:tcMar>
              <w:top w:w="20" w:type="dxa"/>
              <w:left w:w="20" w:type="dxa"/>
              <w:bottom w:w="100" w:type="dxa"/>
              <w:right w:w="20" w:type="dxa"/>
            </w:tcMar>
          </w:tcPr>
          <w:p w14:paraId="08DF9914" w14:textId="77777777" w:rsidR="00340A38" w:rsidRDefault="00000000">
            <w:pPr>
              <w:spacing w:after="0" w:line="240" w:lineRule="auto"/>
              <w:jc w:val="center"/>
              <w:rPr>
                <w:sz w:val="18"/>
                <w:szCs w:val="18"/>
              </w:rPr>
            </w:pPr>
            <w:r>
              <w:rPr>
                <w:sz w:val="18"/>
                <w:szCs w:val="18"/>
              </w:rPr>
              <w:t>-0.163</w:t>
            </w:r>
          </w:p>
        </w:tc>
        <w:tc>
          <w:tcPr>
            <w:tcW w:w="1035" w:type="dxa"/>
            <w:tcBorders>
              <w:top w:val="nil"/>
              <w:left w:val="nil"/>
              <w:bottom w:val="nil"/>
              <w:right w:val="nil"/>
            </w:tcBorders>
            <w:tcMar>
              <w:top w:w="20" w:type="dxa"/>
              <w:left w:w="20" w:type="dxa"/>
              <w:bottom w:w="100" w:type="dxa"/>
              <w:right w:w="20" w:type="dxa"/>
            </w:tcMar>
          </w:tcPr>
          <w:p w14:paraId="050051EF" w14:textId="77777777" w:rsidR="00340A38" w:rsidRDefault="00000000">
            <w:pPr>
              <w:spacing w:after="0" w:line="240" w:lineRule="auto"/>
              <w:jc w:val="center"/>
              <w:rPr>
                <w:sz w:val="18"/>
                <w:szCs w:val="18"/>
              </w:rPr>
            </w:pPr>
            <w:r>
              <w:rPr>
                <w:sz w:val="18"/>
                <w:szCs w:val="18"/>
              </w:rPr>
              <w:t>0.0291</w:t>
            </w:r>
          </w:p>
        </w:tc>
        <w:tc>
          <w:tcPr>
            <w:tcW w:w="1260" w:type="dxa"/>
            <w:tcBorders>
              <w:top w:val="nil"/>
              <w:left w:val="nil"/>
              <w:bottom w:val="nil"/>
              <w:right w:val="nil"/>
            </w:tcBorders>
            <w:tcMar>
              <w:top w:w="20" w:type="dxa"/>
              <w:left w:w="20" w:type="dxa"/>
              <w:bottom w:w="100" w:type="dxa"/>
              <w:right w:w="20" w:type="dxa"/>
            </w:tcMar>
          </w:tcPr>
          <w:p w14:paraId="7854041B" w14:textId="77777777" w:rsidR="00340A38" w:rsidRDefault="00000000">
            <w:pPr>
              <w:spacing w:after="0" w:line="240" w:lineRule="auto"/>
              <w:jc w:val="center"/>
              <w:rPr>
                <w:sz w:val="18"/>
                <w:szCs w:val="18"/>
              </w:rPr>
            </w:pPr>
            <w:r>
              <w:rPr>
                <w:sz w:val="18"/>
                <w:szCs w:val="18"/>
              </w:rPr>
              <w:t>-1.071***</w:t>
            </w:r>
          </w:p>
        </w:tc>
        <w:tc>
          <w:tcPr>
            <w:tcW w:w="870" w:type="dxa"/>
            <w:tcBorders>
              <w:top w:val="nil"/>
              <w:left w:val="nil"/>
              <w:bottom w:val="nil"/>
              <w:right w:val="nil"/>
            </w:tcBorders>
            <w:tcMar>
              <w:top w:w="20" w:type="dxa"/>
              <w:left w:w="20" w:type="dxa"/>
              <w:bottom w:w="100" w:type="dxa"/>
              <w:right w:w="20" w:type="dxa"/>
            </w:tcMar>
          </w:tcPr>
          <w:p w14:paraId="4A2E682F" w14:textId="77777777" w:rsidR="00340A38" w:rsidRDefault="00000000">
            <w:pPr>
              <w:spacing w:after="0" w:line="240" w:lineRule="auto"/>
              <w:jc w:val="center"/>
              <w:rPr>
                <w:sz w:val="18"/>
                <w:szCs w:val="18"/>
              </w:rPr>
            </w:pPr>
            <w:r>
              <w:rPr>
                <w:sz w:val="18"/>
                <w:szCs w:val="18"/>
              </w:rPr>
              <w:t>0.101*</w:t>
            </w:r>
          </w:p>
        </w:tc>
        <w:tc>
          <w:tcPr>
            <w:tcW w:w="1200" w:type="dxa"/>
            <w:tcBorders>
              <w:top w:val="nil"/>
              <w:left w:val="nil"/>
              <w:bottom w:val="nil"/>
              <w:right w:val="nil"/>
            </w:tcBorders>
            <w:tcMar>
              <w:top w:w="20" w:type="dxa"/>
              <w:left w:w="20" w:type="dxa"/>
              <w:bottom w:w="100" w:type="dxa"/>
              <w:right w:w="20" w:type="dxa"/>
            </w:tcMar>
          </w:tcPr>
          <w:p w14:paraId="715FADF6" w14:textId="77777777" w:rsidR="00340A38" w:rsidRDefault="00000000">
            <w:pPr>
              <w:spacing w:after="0" w:line="240" w:lineRule="auto"/>
              <w:jc w:val="center"/>
              <w:rPr>
                <w:sz w:val="18"/>
                <w:szCs w:val="18"/>
              </w:rPr>
            </w:pPr>
            <w:r>
              <w:rPr>
                <w:sz w:val="18"/>
                <w:szCs w:val="18"/>
              </w:rPr>
              <w:t>0.0702</w:t>
            </w:r>
          </w:p>
        </w:tc>
        <w:tc>
          <w:tcPr>
            <w:tcW w:w="1440" w:type="dxa"/>
            <w:tcBorders>
              <w:top w:val="nil"/>
              <w:left w:val="nil"/>
              <w:bottom w:val="nil"/>
              <w:right w:val="nil"/>
            </w:tcBorders>
            <w:tcMar>
              <w:top w:w="20" w:type="dxa"/>
              <w:left w:w="20" w:type="dxa"/>
              <w:bottom w:w="100" w:type="dxa"/>
              <w:right w:w="20" w:type="dxa"/>
            </w:tcMar>
          </w:tcPr>
          <w:p w14:paraId="7EA19CDE" w14:textId="77777777" w:rsidR="00340A38" w:rsidRDefault="00000000">
            <w:pPr>
              <w:spacing w:after="0" w:line="240" w:lineRule="auto"/>
              <w:jc w:val="center"/>
              <w:rPr>
                <w:sz w:val="18"/>
                <w:szCs w:val="18"/>
              </w:rPr>
            </w:pPr>
            <w:r>
              <w:rPr>
                <w:sz w:val="18"/>
                <w:szCs w:val="18"/>
              </w:rPr>
              <w:t>0.388***</w:t>
            </w:r>
          </w:p>
        </w:tc>
      </w:tr>
      <w:tr w:rsidR="00340A38" w14:paraId="0680109C" w14:textId="77777777">
        <w:trPr>
          <w:trHeight w:val="315"/>
        </w:trPr>
        <w:tc>
          <w:tcPr>
            <w:tcW w:w="855" w:type="dxa"/>
            <w:tcBorders>
              <w:top w:val="nil"/>
              <w:left w:val="nil"/>
              <w:bottom w:val="nil"/>
              <w:right w:val="nil"/>
            </w:tcBorders>
            <w:tcMar>
              <w:top w:w="20" w:type="dxa"/>
              <w:left w:w="20" w:type="dxa"/>
              <w:bottom w:w="100" w:type="dxa"/>
              <w:right w:w="20" w:type="dxa"/>
            </w:tcMar>
          </w:tcPr>
          <w:p w14:paraId="772CCF15" w14:textId="77777777" w:rsidR="00340A38" w:rsidRDefault="00340A38">
            <w:pPr>
              <w:spacing w:after="0" w:line="240" w:lineRule="auto"/>
              <w:jc w:val="center"/>
              <w:rPr>
                <w:sz w:val="18"/>
                <w:szCs w:val="18"/>
              </w:rPr>
            </w:pPr>
          </w:p>
        </w:tc>
        <w:tc>
          <w:tcPr>
            <w:tcW w:w="1020" w:type="dxa"/>
            <w:tcBorders>
              <w:top w:val="nil"/>
              <w:left w:val="nil"/>
              <w:bottom w:val="nil"/>
              <w:right w:val="nil"/>
            </w:tcBorders>
            <w:tcMar>
              <w:top w:w="20" w:type="dxa"/>
              <w:left w:w="20" w:type="dxa"/>
              <w:bottom w:w="100" w:type="dxa"/>
              <w:right w:w="20" w:type="dxa"/>
            </w:tcMar>
          </w:tcPr>
          <w:p w14:paraId="0D1146C7" w14:textId="77777777" w:rsidR="00340A38" w:rsidRDefault="00000000">
            <w:pPr>
              <w:spacing w:after="0" w:line="240" w:lineRule="auto"/>
              <w:jc w:val="center"/>
              <w:rPr>
                <w:sz w:val="18"/>
                <w:szCs w:val="18"/>
              </w:rPr>
            </w:pPr>
            <w:r>
              <w:rPr>
                <w:sz w:val="18"/>
                <w:szCs w:val="18"/>
              </w:rPr>
              <w:t>-0.168</w:t>
            </w:r>
          </w:p>
        </w:tc>
        <w:tc>
          <w:tcPr>
            <w:tcW w:w="1260" w:type="dxa"/>
            <w:tcBorders>
              <w:top w:val="nil"/>
              <w:left w:val="nil"/>
              <w:bottom w:val="nil"/>
              <w:right w:val="nil"/>
            </w:tcBorders>
            <w:tcMar>
              <w:top w:w="20" w:type="dxa"/>
              <w:left w:w="20" w:type="dxa"/>
              <w:bottom w:w="100" w:type="dxa"/>
              <w:right w:w="20" w:type="dxa"/>
            </w:tcMar>
          </w:tcPr>
          <w:p w14:paraId="6AD4F437" w14:textId="77777777" w:rsidR="00340A38" w:rsidRDefault="00000000">
            <w:pPr>
              <w:spacing w:after="0" w:line="240" w:lineRule="auto"/>
              <w:jc w:val="center"/>
              <w:rPr>
                <w:sz w:val="18"/>
                <w:szCs w:val="18"/>
              </w:rPr>
            </w:pPr>
            <w:r>
              <w:rPr>
                <w:sz w:val="18"/>
                <w:szCs w:val="18"/>
              </w:rPr>
              <w:t>-0.0135</w:t>
            </w:r>
          </w:p>
        </w:tc>
        <w:tc>
          <w:tcPr>
            <w:tcW w:w="1095" w:type="dxa"/>
            <w:tcBorders>
              <w:top w:val="nil"/>
              <w:left w:val="nil"/>
              <w:bottom w:val="nil"/>
              <w:right w:val="nil"/>
            </w:tcBorders>
            <w:tcMar>
              <w:top w:w="20" w:type="dxa"/>
              <w:left w:w="20" w:type="dxa"/>
              <w:bottom w:w="100" w:type="dxa"/>
              <w:right w:w="20" w:type="dxa"/>
            </w:tcMar>
          </w:tcPr>
          <w:p w14:paraId="06A9DD77" w14:textId="77777777" w:rsidR="00340A38" w:rsidRDefault="00000000">
            <w:pPr>
              <w:spacing w:after="0" w:line="240" w:lineRule="auto"/>
              <w:jc w:val="center"/>
              <w:rPr>
                <w:sz w:val="18"/>
                <w:szCs w:val="18"/>
              </w:rPr>
            </w:pPr>
            <w:r>
              <w:rPr>
                <w:sz w:val="18"/>
                <w:szCs w:val="18"/>
              </w:rPr>
              <w:t>-0.262</w:t>
            </w:r>
          </w:p>
        </w:tc>
        <w:tc>
          <w:tcPr>
            <w:tcW w:w="1035" w:type="dxa"/>
            <w:tcBorders>
              <w:top w:val="nil"/>
              <w:left w:val="nil"/>
              <w:bottom w:val="nil"/>
              <w:right w:val="nil"/>
            </w:tcBorders>
            <w:tcMar>
              <w:top w:w="20" w:type="dxa"/>
              <w:left w:w="20" w:type="dxa"/>
              <w:bottom w:w="100" w:type="dxa"/>
              <w:right w:w="20" w:type="dxa"/>
            </w:tcMar>
          </w:tcPr>
          <w:p w14:paraId="3DA1DEE5" w14:textId="77777777" w:rsidR="00340A38" w:rsidRDefault="00000000">
            <w:pPr>
              <w:spacing w:after="0" w:line="240" w:lineRule="auto"/>
              <w:jc w:val="center"/>
              <w:rPr>
                <w:sz w:val="18"/>
                <w:szCs w:val="18"/>
              </w:rPr>
            </w:pPr>
            <w:r>
              <w:rPr>
                <w:sz w:val="18"/>
                <w:szCs w:val="18"/>
              </w:rPr>
              <w:t>-0.0412</w:t>
            </w:r>
          </w:p>
        </w:tc>
        <w:tc>
          <w:tcPr>
            <w:tcW w:w="1260" w:type="dxa"/>
            <w:tcBorders>
              <w:top w:val="nil"/>
              <w:left w:val="nil"/>
              <w:bottom w:val="nil"/>
              <w:right w:val="nil"/>
            </w:tcBorders>
            <w:tcMar>
              <w:top w:w="20" w:type="dxa"/>
              <w:left w:w="20" w:type="dxa"/>
              <w:bottom w:w="100" w:type="dxa"/>
              <w:right w:w="20" w:type="dxa"/>
            </w:tcMar>
          </w:tcPr>
          <w:p w14:paraId="05F0C7AB" w14:textId="77777777" w:rsidR="00340A38" w:rsidRDefault="00000000">
            <w:pPr>
              <w:spacing w:after="0" w:line="240" w:lineRule="auto"/>
              <w:jc w:val="center"/>
              <w:rPr>
                <w:sz w:val="18"/>
                <w:szCs w:val="18"/>
              </w:rPr>
            </w:pPr>
            <w:r>
              <w:rPr>
                <w:sz w:val="18"/>
                <w:szCs w:val="18"/>
              </w:rPr>
              <w:t>-0.239</w:t>
            </w:r>
          </w:p>
        </w:tc>
        <w:tc>
          <w:tcPr>
            <w:tcW w:w="870" w:type="dxa"/>
            <w:tcBorders>
              <w:top w:val="nil"/>
              <w:left w:val="nil"/>
              <w:bottom w:val="nil"/>
              <w:right w:val="nil"/>
            </w:tcBorders>
            <w:tcMar>
              <w:top w:w="20" w:type="dxa"/>
              <w:left w:w="20" w:type="dxa"/>
              <w:bottom w:w="100" w:type="dxa"/>
              <w:right w:w="20" w:type="dxa"/>
            </w:tcMar>
          </w:tcPr>
          <w:p w14:paraId="0128A1BF" w14:textId="77777777" w:rsidR="00340A38" w:rsidRDefault="00000000">
            <w:pPr>
              <w:spacing w:after="0" w:line="240" w:lineRule="auto"/>
              <w:jc w:val="center"/>
              <w:rPr>
                <w:sz w:val="18"/>
                <w:szCs w:val="18"/>
              </w:rPr>
            </w:pPr>
            <w:r>
              <w:rPr>
                <w:sz w:val="18"/>
                <w:szCs w:val="18"/>
              </w:rPr>
              <w:t>-0.0568</w:t>
            </w:r>
          </w:p>
        </w:tc>
        <w:tc>
          <w:tcPr>
            <w:tcW w:w="1200" w:type="dxa"/>
            <w:tcBorders>
              <w:top w:val="nil"/>
              <w:left w:val="nil"/>
              <w:bottom w:val="nil"/>
              <w:right w:val="nil"/>
            </w:tcBorders>
            <w:tcMar>
              <w:top w:w="20" w:type="dxa"/>
              <w:left w:w="20" w:type="dxa"/>
              <w:bottom w:w="100" w:type="dxa"/>
              <w:right w:w="20" w:type="dxa"/>
            </w:tcMar>
          </w:tcPr>
          <w:p w14:paraId="0ED1DFD3" w14:textId="77777777" w:rsidR="00340A38" w:rsidRDefault="00000000">
            <w:pPr>
              <w:spacing w:after="0" w:line="240" w:lineRule="auto"/>
              <w:jc w:val="center"/>
              <w:rPr>
                <w:sz w:val="18"/>
                <w:szCs w:val="18"/>
              </w:rPr>
            </w:pPr>
            <w:r>
              <w:rPr>
                <w:sz w:val="18"/>
                <w:szCs w:val="18"/>
              </w:rPr>
              <w:t>-0.0645</w:t>
            </w:r>
          </w:p>
        </w:tc>
        <w:tc>
          <w:tcPr>
            <w:tcW w:w="1440" w:type="dxa"/>
            <w:tcBorders>
              <w:top w:val="nil"/>
              <w:left w:val="nil"/>
              <w:bottom w:val="nil"/>
              <w:right w:val="nil"/>
            </w:tcBorders>
            <w:tcMar>
              <w:top w:w="20" w:type="dxa"/>
              <w:left w:w="20" w:type="dxa"/>
              <w:bottom w:w="100" w:type="dxa"/>
              <w:right w:w="20" w:type="dxa"/>
            </w:tcMar>
          </w:tcPr>
          <w:p w14:paraId="2484676A" w14:textId="77777777" w:rsidR="00340A38" w:rsidRDefault="00000000">
            <w:pPr>
              <w:spacing w:after="0" w:line="240" w:lineRule="auto"/>
              <w:jc w:val="center"/>
              <w:rPr>
                <w:sz w:val="18"/>
                <w:szCs w:val="18"/>
              </w:rPr>
            </w:pPr>
            <w:r>
              <w:rPr>
                <w:sz w:val="18"/>
                <w:szCs w:val="18"/>
              </w:rPr>
              <w:t>-0.0946</w:t>
            </w:r>
          </w:p>
        </w:tc>
      </w:tr>
      <w:tr w:rsidR="00340A38" w14:paraId="148CBA71" w14:textId="77777777">
        <w:trPr>
          <w:trHeight w:val="315"/>
        </w:trPr>
        <w:tc>
          <w:tcPr>
            <w:tcW w:w="855" w:type="dxa"/>
            <w:tcBorders>
              <w:top w:val="nil"/>
              <w:left w:val="nil"/>
              <w:bottom w:val="nil"/>
              <w:right w:val="nil"/>
            </w:tcBorders>
            <w:tcMar>
              <w:top w:w="20" w:type="dxa"/>
              <w:left w:w="20" w:type="dxa"/>
              <w:bottom w:w="100" w:type="dxa"/>
              <w:right w:w="20" w:type="dxa"/>
            </w:tcMar>
          </w:tcPr>
          <w:p w14:paraId="7A09EA40" w14:textId="77777777" w:rsidR="00340A38" w:rsidRDefault="00000000">
            <w:pPr>
              <w:spacing w:after="0" w:line="240" w:lineRule="auto"/>
              <w:jc w:val="center"/>
              <w:rPr>
                <w:sz w:val="18"/>
                <w:szCs w:val="18"/>
              </w:rPr>
            </w:pPr>
            <w:r>
              <w:rPr>
                <w:sz w:val="18"/>
                <w:szCs w:val="18"/>
              </w:rPr>
              <w:t>SIZE</w:t>
            </w:r>
          </w:p>
        </w:tc>
        <w:tc>
          <w:tcPr>
            <w:tcW w:w="1020" w:type="dxa"/>
            <w:tcBorders>
              <w:top w:val="nil"/>
              <w:left w:val="nil"/>
              <w:bottom w:val="nil"/>
              <w:right w:val="nil"/>
            </w:tcBorders>
            <w:tcMar>
              <w:top w:w="20" w:type="dxa"/>
              <w:left w:w="20" w:type="dxa"/>
              <w:bottom w:w="100" w:type="dxa"/>
              <w:right w:w="20" w:type="dxa"/>
            </w:tcMar>
          </w:tcPr>
          <w:p w14:paraId="696C9CEF" w14:textId="77777777" w:rsidR="00340A38" w:rsidRDefault="00000000">
            <w:pPr>
              <w:spacing w:after="0" w:line="240" w:lineRule="auto"/>
              <w:jc w:val="center"/>
              <w:rPr>
                <w:sz w:val="18"/>
                <w:szCs w:val="18"/>
              </w:rPr>
            </w:pPr>
            <w:r>
              <w:rPr>
                <w:sz w:val="18"/>
                <w:szCs w:val="18"/>
              </w:rPr>
              <w:t>-0.0135</w:t>
            </w:r>
          </w:p>
        </w:tc>
        <w:tc>
          <w:tcPr>
            <w:tcW w:w="1260" w:type="dxa"/>
            <w:tcBorders>
              <w:top w:val="nil"/>
              <w:left w:val="nil"/>
              <w:bottom w:val="nil"/>
              <w:right w:val="nil"/>
            </w:tcBorders>
            <w:tcMar>
              <w:top w:w="20" w:type="dxa"/>
              <w:left w:w="20" w:type="dxa"/>
              <w:bottom w:w="100" w:type="dxa"/>
              <w:right w:w="20" w:type="dxa"/>
            </w:tcMar>
          </w:tcPr>
          <w:p w14:paraId="06CD72D7" w14:textId="77777777" w:rsidR="00340A38" w:rsidRDefault="00000000">
            <w:pPr>
              <w:spacing w:after="0" w:line="240" w:lineRule="auto"/>
              <w:jc w:val="center"/>
              <w:rPr>
                <w:sz w:val="18"/>
                <w:szCs w:val="18"/>
              </w:rPr>
            </w:pPr>
            <w:r>
              <w:rPr>
                <w:sz w:val="18"/>
                <w:szCs w:val="18"/>
              </w:rPr>
              <w:t>0.0255***</w:t>
            </w:r>
          </w:p>
        </w:tc>
        <w:tc>
          <w:tcPr>
            <w:tcW w:w="1095" w:type="dxa"/>
            <w:tcBorders>
              <w:top w:val="nil"/>
              <w:left w:val="nil"/>
              <w:bottom w:val="nil"/>
              <w:right w:val="nil"/>
            </w:tcBorders>
            <w:tcMar>
              <w:top w:w="20" w:type="dxa"/>
              <w:left w:w="20" w:type="dxa"/>
              <w:bottom w:w="100" w:type="dxa"/>
              <w:right w:w="20" w:type="dxa"/>
            </w:tcMar>
          </w:tcPr>
          <w:p w14:paraId="12BB58CE" w14:textId="77777777" w:rsidR="00340A38" w:rsidRDefault="00000000">
            <w:pPr>
              <w:spacing w:after="0" w:line="240" w:lineRule="auto"/>
              <w:jc w:val="center"/>
              <w:rPr>
                <w:sz w:val="18"/>
                <w:szCs w:val="18"/>
              </w:rPr>
            </w:pPr>
            <w:r>
              <w:rPr>
                <w:sz w:val="18"/>
                <w:szCs w:val="18"/>
              </w:rPr>
              <w:t>0.0135</w:t>
            </w:r>
          </w:p>
        </w:tc>
        <w:tc>
          <w:tcPr>
            <w:tcW w:w="1035" w:type="dxa"/>
            <w:tcBorders>
              <w:top w:val="nil"/>
              <w:left w:val="nil"/>
              <w:bottom w:val="nil"/>
              <w:right w:val="nil"/>
            </w:tcBorders>
            <w:tcMar>
              <w:top w:w="20" w:type="dxa"/>
              <w:left w:w="20" w:type="dxa"/>
              <w:bottom w:w="100" w:type="dxa"/>
              <w:right w:w="20" w:type="dxa"/>
            </w:tcMar>
          </w:tcPr>
          <w:p w14:paraId="384AA13E" w14:textId="77777777" w:rsidR="00340A38" w:rsidRDefault="00000000">
            <w:pPr>
              <w:spacing w:after="0" w:line="240" w:lineRule="auto"/>
              <w:jc w:val="center"/>
              <w:rPr>
                <w:sz w:val="18"/>
                <w:szCs w:val="18"/>
              </w:rPr>
            </w:pPr>
            <w:r>
              <w:rPr>
                <w:sz w:val="18"/>
                <w:szCs w:val="18"/>
              </w:rPr>
              <w:t>-0.0322***</w:t>
            </w:r>
          </w:p>
        </w:tc>
        <w:tc>
          <w:tcPr>
            <w:tcW w:w="1260" w:type="dxa"/>
            <w:tcBorders>
              <w:top w:val="nil"/>
              <w:left w:val="nil"/>
              <w:bottom w:val="nil"/>
              <w:right w:val="nil"/>
            </w:tcBorders>
            <w:tcMar>
              <w:top w:w="20" w:type="dxa"/>
              <w:left w:w="20" w:type="dxa"/>
              <w:bottom w:w="100" w:type="dxa"/>
              <w:right w:w="20" w:type="dxa"/>
            </w:tcMar>
          </w:tcPr>
          <w:p w14:paraId="2218892A" w14:textId="77777777" w:rsidR="00340A38" w:rsidRDefault="00000000">
            <w:pPr>
              <w:spacing w:after="0" w:line="240" w:lineRule="auto"/>
              <w:jc w:val="center"/>
              <w:rPr>
                <w:sz w:val="18"/>
                <w:szCs w:val="18"/>
              </w:rPr>
            </w:pPr>
            <w:r>
              <w:rPr>
                <w:sz w:val="18"/>
                <w:szCs w:val="18"/>
              </w:rPr>
              <w:t>0.0152</w:t>
            </w:r>
          </w:p>
        </w:tc>
        <w:tc>
          <w:tcPr>
            <w:tcW w:w="870" w:type="dxa"/>
            <w:tcBorders>
              <w:top w:val="nil"/>
              <w:left w:val="nil"/>
              <w:bottom w:val="nil"/>
              <w:right w:val="nil"/>
            </w:tcBorders>
            <w:tcMar>
              <w:top w:w="20" w:type="dxa"/>
              <w:left w:w="20" w:type="dxa"/>
              <w:bottom w:w="100" w:type="dxa"/>
              <w:right w:w="20" w:type="dxa"/>
            </w:tcMar>
          </w:tcPr>
          <w:p w14:paraId="2252C83B" w14:textId="77777777" w:rsidR="00340A38" w:rsidRDefault="00000000">
            <w:pPr>
              <w:spacing w:after="0" w:line="240" w:lineRule="auto"/>
              <w:jc w:val="center"/>
              <w:rPr>
                <w:sz w:val="18"/>
                <w:szCs w:val="18"/>
              </w:rPr>
            </w:pPr>
            <w:r>
              <w:rPr>
                <w:sz w:val="18"/>
                <w:szCs w:val="18"/>
              </w:rPr>
              <w:t>-0.0692***</w:t>
            </w:r>
          </w:p>
        </w:tc>
        <w:tc>
          <w:tcPr>
            <w:tcW w:w="1200" w:type="dxa"/>
            <w:tcBorders>
              <w:top w:val="nil"/>
              <w:left w:val="nil"/>
              <w:bottom w:val="nil"/>
              <w:right w:val="nil"/>
            </w:tcBorders>
            <w:tcMar>
              <w:top w:w="20" w:type="dxa"/>
              <w:left w:w="20" w:type="dxa"/>
              <w:bottom w:w="100" w:type="dxa"/>
              <w:right w:w="20" w:type="dxa"/>
            </w:tcMar>
          </w:tcPr>
          <w:p w14:paraId="5CD84D35" w14:textId="77777777" w:rsidR="00340A38" w:rsidRDefault="00000000">
            <w:pPr>
              <w:spacing w:after="0" w:line="240" w:lineRule="auto"/>
              <w:jc w:val="center"/>
              <w:rPr>
                <w:sz w:val="18"/>
                <w:szCs w:val="18"/>
              </w:rPr>
            </w:pPr>
            <w:r>
              <w:rPr>
                <w:sz w:val="18"/>
                <w:szCs w:val="18"/>
              </w:rPr>
              <w:t>0.0326***</w:t>
            </w:r>
          </w:p>
        </w:tc>
        <w:tc>
          <w:tcPr>
            <w:tcW w:w="1440" w:type="dxa"/>
            <w:tcBorders>
              <w:top w:val="nil"/>
              <w:left w:val="nil"/>
              <w:bottom w:val="nil"/>
              <w:right w:val="nil"/>
            </w:tcBorders>
            <w:tcMar>
              <w:top w:w="20" w:type="dxa"/>
              <w:left w:w="20" w:type="dxa"/>
              <w:bottom w:w="100" w:type="dxa"/>
              <w:right w:w="20" w:type="dxa"/>
            </w:tcMar>
          </w:tcPr>
          <w:p w14:paraId="7116D8EC" w14:textId="77777777" w:rsidR="00340A38" w:rsidRDefault="00000000">
            <w:pPr>
              <w:spacing w:after="0" w:line="240" w:lineRule="auto"/>
              <w:jc w:val="center"/>
              <w:rPr>
                <w:sz w:val="18"/>
                <w:szCs w:val="18"/>
              </w:rPr>
            </w:pPr>
            <w:r>
              <w:rPr>
                <w:sz w:val="18"/>
                <w:szCs w:val="18"/>
              </w:rPr>
              <w:t>0.00354</w:t>
            </w:r>
          </w:p>
        </w:tc>
      </w:tr>
      <w:tr w:rsidR="00340A38" w14:paraId="5D5D4105" w14:textId="77777777">
        <w:trPr>
          <w:trHeight w:val="315"/>
        </w:trPr>
        <w:tc>
          <w:tcPr>
            <w:tcW w:w="855" w:type="dxa"/>
            <w:tcBorders>
              <w:top w:val="nil"/>
              <w:left w:val="nil"/>
              <w:bottom w:val="nil"/>
              <w:right w:val="nil"/>
            </w:tcBorders>
            <w:tcMar>
              <w:top w:w="20" w:type="dxa"/>
              <w:left w:w="20" w:type="dxa"/>
              <w:bottom w:w="100" w:type="dxa"/>
              <w:right w:w="20" w:type="dxa"/>
            </w:tcMar>
          </w:tcPr>
          <w:p w14:paraId="75D93952" w14:textId="77777777" w:rsidR="00340A38" w:rsidRDefault="00340A38">
            <w:pPr>
              <w:spacing w:after="0" w:line="240" w:lineRule="auto"/>
              <w:jc w:val="center"/>
              <w:rPr>
                <w:sz w:val="18"/>
                <w:szCs w:val="18"/>
              </w:rPr>
            </w:pPr>
          </w:p>
        </w:tc>
        <w:tc>
          <w:tcPr>
            <w:tcW w:w="1020" w:type="dxa"/>
            <w:tcBorders>
              <w:top w:val="nil"/>
              <w:left w:val="nil"/>
              <w:bottom w:val="nil"/>
              <w:right w:val="nil"/>
            </w:tcBorders>
            <w:tcMar>
              <w:top w:w="20" w:type="dxa"/>
              <w:left w:w="20" w:type="dxa"/>
              <w:bottom w:w="100" w:type="dxa"/>
              <w:right w:w="20" w:type="dxa"/>
            </w:tcMar>
          </w:tcPr>
          <w:p w14:paraId="2978E871" w14:textId="77777777" w:rsidR="00340A38" w:rsidRDefault="00000000">
            <w:pPr>
              <w:spacing w:after="0" w:line="240" w:lineRule="auto"/>
              <w:jc w:val="center"/>
              <w:rPr>
                <w:sz w:val="18"/>
                <w:szCs w:val="18"/>
              </w:rPr>
            </w:pPr>
            <w:r>
              <w:rPr>
                <w:sz w:val="18"/>
                <w:szCs w:val="18"/>
              </w:rPr>
              <w:t>-0.0239</w:t>
            </w:r>
          </w:p>
        </w:tc>
        <w:tc>
          <w:tcPr>
            <w:tcW w:w="1260" w:type="dxa"/>
            <w:tcBorders>
              <w:top w:val="nil"/>
              <w:left w:val="nil"/>
              <w:bottom w:val="nil"/>
              <w:right w:val="nil"/>
            </w:tcBorders>
            <w:tcMar>
              <w:top w:w="20" w:type="dxa"/>
              <w:left w:w="20" w:type="dxa"/>
              <w:bottom w:w="100" w:type="dxa"/>
              <w:right w:w="20" w:type="dxa"/>
            </w:tcMar>
          </w:tcPr>
          <w:p w14:paraId="1E79EEE0" w14:textId="77777777" w:rsidR="00340A38" w:rsidRDefault="00000000">
            <w:pPr>
              <w:spacing w:after="0" w:line="240" w:lineRule="auto"/>
              <w:jc w:val="center"/>
              <w:rPr>
                <w:sz w:val="18"/>
                <w:szCs w:val="18"/>
              </w:rPr>
            </w:pPr>
            <w:r>
              <w:rPr>
                <w:sz w:val="18"/>
                <w:szCs w:val="18"/>
              </w:rPr>
              <w:t>-0.00266</w:t>
            </w:r>
          </w:p>
        </w:tc>
        <w:tc>
          <w:tcPr>
            <w:tcW w:w="1095" w:type="dxa"/>
            <w:tcBorders>
              <w:top w:val="nil"/>
              <w:left w:val="nil"/>
              <w:bottom w:val="nil"/>
              <w:right w:val="nil"/>
            </w:tcBorders>
            <w:tcMar>
              <w:top w:w="20" w:type="dxa"/>
              <w:left w:w="20" w:type="dxa"/>
              <w:bottom w:w="100" w:type="dxa"/>
              <w:right w:w="20" w:type="dxa"/>
            </w:tcMar>
          </w:tcPr>
          <w:p w14:paraId="46CDC737" w14:textId="77777777" w:rsidR="00340A38" w:rsidRDefault="00000000">
            <w:pPr>
              <w:spacing w:after="0" w:line="240" w:lineRule="auto"/>
              <w:jc w:val="center"/>
              <w:rPr>
                <w:sz w:val="18"/>
                <w:szCs w:val="18"/>
              </w:rPr>
            </w:pPr>
            <w:r>
              <w:rPr>
                <w:sz w:val="18"/>
                <w:szCs w:val="18"/>
              </w:rPr>
              <w:t>-0.0132</w:t>
            </w:r>
          </w:p>
        </w:tc>
        <w:tc>
          <w:tcPr>
            <w:tcW w:w="1035" w:type="dxa"/>
            <w:tcBorders>
              <w:top w:val="nil"/>
              <w:left w:val="nil"/>
              <w:bottom w:val="nil"/>
              <w:right w:val="nil"/>
            </w:tcBorders>
            <w:tcMar>
              <w:top w:w="20" w:type="dxa"/>
              <w:left w:w="20" w:type="dxa"/>
              <w:bottom w:w="100" w:type="dxa"/>
              <w:right w:w="20" w:type="dxa"/>
            </w:tcMar>
          </w:tcPr>
          <w:p w14:paraId="5F605987" w14:textId="77777777" w:rsidR="00340A38" w:rsidRDefault="00000000">
            <w:pPr>
              <w:spacing w:after="0" w:line="240" w:lineRule="auto"/>
              <w:jc w:val="center"/>
              <w:rPr>
                <w:sz w:val="18"/>
                <w:szCs w:val="18"/>
              </w:rPr>
            </w:pPr>
            <w:r>
              <w:rPr>
                <w:sz w:val="18"/>
                <w:szCs w:val="18"/>
              </w:rPr>
              <w:t>-0.00812</w:t>
            </w:r>
          </w:p>
        </w:tc>
        <w:tc>
          <w:tcPr>
            <w:tcW w:w="1260" w:type="dxa"/>
            <w:tcBorders>
              <w:top w:val="nil"/>
              <w:left w:val="nil"/>
              <w:bottom w:val="nil"/>
              <w:right w:val="nil"/>
            </w:tcBorders>
            <w:tcMar>
              <w:top w:w="20" w:type="dxa"/>
              <w:left w:w="20" w:type="dxa"/>
              <w:bottom w:w="100" w:type="dxa"/>
              <w:right w:w="20" w:type="dxa"/>
            </w:tcMar>
          </w:tcPr>
          <w:p w14:paraId="0E577400" w14:textId="77777777" w:rsidR="00340A38" w:rsidRDefault="00000000">
            <w:pPr>
              <w:spacing w:after="0" w:line="240" w:lineRule="auto"/>
              <w:jc w:val="center"/>
              <w:rPr>
                <w:sz w:val="18"/>
                <w:szCs w:val="18"/>
              </w:rPr>
            </w:pPr>
            <w:r>
              <w:rPr>
                <w:sz w:val="18"/>
                <w:szCs w:val="18"/>
              </w:rPr>
              <w:t>-0.0133</w:t>
            </w:r>
          </w:p>
        </w:tc>
        <w:tc>
          <w:tcPr>
            <w:tcW w:w="870" w:type="dxa"/>
            <w:tcBorders>
              <w:top w:val="nil"/>
              <w:left w:val="nil"/>
              <w:bottom w:val="nil"/>
              <w:right w:val="nil"/>
            </w:tcBorders>
            <w:tcMar>
              <w:top w:w="20" w:type="dxa"/>
              <w:left w:w="20" w:type="dxa"/>
              <w:bottom w:w="100" w:type="dxa"/>
              <w:right w:w="20" w:type="dxa"/>
            </w:tcMar>
          </w:tcPr>
          <w:p w14:paraId="4C09E350" w14:textId="77777777" w:rsidR="00340A38" w:rsidRDefault="00000000">
            <w:pPr>
              <w:spacing w:after="0" w:line="240" w:lineRule="auto"/>
              <w:jc w:val="center"/>
              <w:rPr>
                <w:sz w:val="18"/>
                <w:szCs w:val="18"/>
              </w:rPr>
            </w:pPr>
            <w:r>
              <w:rPr>
                <w:sz w:val="18"/>
                <w:szCs w:val="18"/>
              </w:rPr>
              <w:t>-0.0132</w:t>
            </w:r>
          </w:p>
        </w:tc>
        <w:tc>
          <w:tcPr>
            <w:tcW w:w="1200" w:type="dxa"/>
            <w:tcBorders>
              <w:top w:val="nil"/>
              <w:left w:val="nil"/>
              <w:bottom w:val="nil"/>
              <w:right w:val="nil"/>
            </w:tcBorders>
            <w:tcMar>
              <w:top w:w="20" w:type="dxa"/>
              <w:left w:w="20" w:type="dxa"/>
              <w:bottom w:w="100" w:type="dxa"/>
              <w:right w:w="20" w:type="dxa"/>
            </w:tcMar>
          </w:tcPr>
          <w:p w14:paraId="3262608F" w14:textId="77777777" w:rsidR="00340A38" w:rsidRDefault="00000000">
            <w:pPr>
              <w:spacing w:after="0" w:line="240" w:lineRule="auto"/>
              <w:jc w:val="center"/>
              <w:rPr>
                <w:sz w:val="18"/>
                <w:szCs w:val="18"/>
              </w:rPr>
            </w:pPr>
            <w:r>
              <w:rPr>
                <w:sz w:val="18"/>
                <w:szCs w:val="18"/>
              </w:rPr>
              <w:t>-0.0089</w:t>
            </w:r>
          </w:p>
        </w:tc>
        <w:tc>
          <w:tcPr>
            <w:tcW w:w="1440" w:type="dxa"/>
            <w:tcBorders>
              <w:top w:val="nil"/>
              <w:left w:val="nil"/>
              <w:bottom w:val="nil"/>
              <w:right w:val="nil"/>
            </w:tcBorders>
            <w:tcMar>
              <w:top w:w="20" w:type="dxa"/>
              <w:left w:w="20" w:type="dxa"/>
              <w:bottom w:w="100" w:type="dxa"/>
              <w:right w:w="20" w:type="dxa"/>
            </w:tcMar>
          </w:tcPr>
          <w:p w14:paraId="031F2864" w14:textId="77777777" w:rsidR="00340A38" w:rsidRDefault="00000000">
            <w:pPr>
              <w:spacing w:after="0" w:line="240" w:lineRule="auto"/>
              <w:jc w:val="center"/>
              <w:rPr>
                <w:sz w:val="18"/>
                <w:szCs w:val="18"/>
              </w:rPr>
            </w:pPr>
            <w:r>
              <w:rPr>
                <w:sz w:val="18"/>
                <w:szCs w:val="18"/>
              </w:rPr>
              <w:t>-0.0205</w:t>
            </w:r>
          </w:p>
        </w:tc>
      </w:tr>
      <w:tr w:rsidR="00340A38" w14:paraId="153B1005" w14:textId="77777777">
        <w:trPr>
          <w:trHeight w:val="315"/>
        </w:trPr>
        <w:tc>
          <w:tcPr>
            <w:tcW w:w="855" w:type="dxa"/>
            <w:tcBorders>
              <w:top w:val="nil"/>
              <w:left w:val="nil"/>
              <w:bottom w:val="nil"/>
              <w:right w:val="nil"/>
            </w:tcBorders>
            <w:tcMar>
              <w:top w:w="20" w:type="dxa"/>
              <w:left w:w="20" w:type="dxa"/>
              <w:bottom w:w="100" w:type="dxa"/>
              <w:right w:w="20" w:type="dxa"/>
            </w:tcMar>
          </w:tcPr>
          <w:p w14:paraId="5D943B9A" w14:textId="77777777" w:rsidR="00340A38" w:rsidRDefault="00000000">
            <w:pPr>
              <w:spacing w:after="0" w:line="240" w:lineRule="auto"/>
              <w:jc w:val="center"/>
              <w:rPr>
                <w:sz w:val="18"/>
                <w:szCs w:val="18"/>
              </w:rPr>
            </w:pPr>
            <w:r>
              <w:rPr>
                <w:sz w:val="18"/>
                <w:szCs w:val="18"/>
              </w:rPr>
              <w:t>ROA</w:t>
            </w:r>
          </w:p>
        </w:tc>
        <w:tc>
          <w:tcPr>
            <w:tcW w:w="1020" w:type="dxa"/>
            <w:tcBorders>
              <w:top w:val="nil"/>
              <w:left w:val="nil"/>
              <w:bottom w:val="nil"/>
              <w:right w:val="nil"/>
            </w:tcBorders>
            <w:tcMar>
              <w:top w:w="20" w:type="dxa"/>
              <w:left w:w="20" w:type="dxa"/>
              <w:bottom w:w="100" w:type="dxa"/>
              <w:right w:w="20" w:type="dxa"/>
            </w:tcMar>
          </w:tcPr>
          <w:p w14:paraId="1ABF6B2C" w14:textId="77777777" w:rsidR="00340A38" w:rsidRDefault="00000000">
            <w:pPr>
              <w:spacing w:after="0" w:line="240" w:lineRule="auto"/>
              <w:jc w:val="center"/>
              <w:rPr>
                <w:sz w:val="18"/>
                <w:szCs w:val="18"/>
              </w:rPr>
            </w:pPr>
            <w:r>
              <w:rPr>
                <w:sz w:val="18"/>
                <w:szCs w:val="18"/>
              </w:rPr>
              <w:t>-0.00744***</w:t>
            </w:r>
          </w:p>
        </w:tc>
        <w:tc>
          <w:tcPr>
            <w:tcW w:w="1260" w:type="dxa"/>
            <w:tcBorders>
              <w:top w:val="nil"/>
              <w:left w:val="nil"/>
              <w:bottom w:val="nil"/>
              <w:right w:val="nil"/>
            </w:tcBorders>
            <w:tcMar>
              <w:top w:w="20" w:type="dxa"/>
              <w:left w:w="20" w:type="dxa"/>
              <w:bottom w:w="100" w:type="dxa"/>
              <w:right w:w="20" w:type="dxa"/>
            </w:tcMar>
          </w:tcPr>
          <w:p w14:paraId="3C7F43DD" w14:textId="77777777" w:rsidR="00340A38" w:rsidRDefault="00000000">
            <w:pPr>
              <w:spacing w:after="0" w:line="240" w:lineRule="auto"/>
              <w:jc w:val="center"/>
              <w:rPr>
                <w:sz w:val="18"/>
                <w:szCs w:val="18"/>
              </w:rPr>
            </w:pPr>
            <w:r>
              <w:rPr>
                <w:sz w:val="18"/>
                <w:szCs w:val="18"/>
              </w:rPr>
              <w:t>-0.00138***</w:t>
            </w:r>
          </w:p>
        </w:tc>
        <w:tc>
          <w:tcPr>
            <w:tcW w:w="1095" w:type="dxa"/>
            <w:tcBorders>
              <w:top w:val="nil"/>
              <w:left w:val="nil"/>
              <w:bottom w:val="nil"/>
              <w:right w:val="nil"/>
            </w:tcBorders>
            <w:tcMar>
              <w:top w:w="20" w:type="dxa"/>
              <w:left w:w="20" w:type="dxa"/>
              <w:bottom w:w="100" w:type="dxa"/>
              <w:right w:w="20" w:type="dxa"/>
            </w:tcMar>
          </w:tcPr>
          <w:p w14:paraId="795B36B2" w14:textId="77777777" w:rsidR="00340A38" w:rsidRDefault="00000000">
            <w:pPr>
              <w:spacing w:after="0" w:line="240" w:lineRule="auto"/>
              <w:jc w:val="center"/>
              <w:rPr>
                <w:sz w:val="18"/>
                <w:szCs w:val="18"/>
              </w:rPr>
            </w:pPr>
            <w:r>
              <w:rPr>
                <w:sz w:val="18"/>
                <w:szCs w:val="18"/>
              </w:rPr>
              <w:t>-0.00577***</w:t>
            </w:r>
          </w:p>
        </w:tc>
        <w:tc>
          <w:tcPr>
            <w:tcW w:w="1035" w:type="dxa"/>
            <w:tcBorders>
              <w:top w:val="nil"/>
              <w:left w:val="nil"/>
              <w:bottom w:val="nil"/>
              <w:right w:val="nil"/>
            </w:tcBorders>
            <w:tcMar>
              <w:top w:w="20" w:type="dxa"/>
              <w:left w:w="20" w:type="dxa"/>
              <w:bottom w:w="100" w:type="dxa"/>
              <w:right w:w="20" w:type="dxa"/>
            </w:tcMar>
          </w:tcPr>
          <w:p w14:paraId="3B4E3A75" w14:textId="77777777" w:rsidR="00340A38" w:rsidRDefault="00000000">
            <w:pPr>
              <w:spacing w:after="0" w:line="240" w:lineRule="auto"/>
              <w:jc w:val="center"/>
              <w:rPr>
                <w:sz w:val="18"/>
                <w:szCs w:val="18"/>
              </w:rPr>
            </w:pPr>
            <w:r>
              <w:rPr>
                <w:sz w:val="18"/>
                <w:szCs w:val="18"/>
              </w:rPr>
              <w:t>-0.00233***</w:t>
            </w:r>
          </w:p>
        </w:tc>
        <w:tc>
          <w:tcPr>
            <w:tcW w:w="1260" w:type="dxa"/>
            <w:tcBorders>
              <w:top w:val="nil"/>
              <w:left w:val="nil"/>
              <w:bottom w:val="nil"/>
              <w:right w:val="nil"/>
            </w:tcBorders>
            <w:tcMar>
              <w:top w:w="20" w:type="dxa"/>
              <w:left w:w="20" w:type="dxa"/>
              <w:bottom w:w="100" w:type="dxa"/>
              <w:right w:w="20" w:type="dxa"/>
            </w:tcMar>
          </w:tcPr>
          <w:p w14:paraId="432574A5" w14:textId="77777777" w:rsidR="00340A38" w:rsidRDefault="00000000">
            <w:pPr>
              <w:spacing w:after="0" w:line="240" w:lineRule="auto"/>
              <w:jc w:val="center"/>
              <w:rPr>
                <w:sz w:val="18"/>
                <w:szCs w:val="18"/>
              </w:rPr>
            </w:pPr>
            <w:r>
              <w:rPr>
                <w:sz w:val="18"/>
                <w:szCs w:val="18"/>
              </w:rPr>
              <w:t>-0.0204***</w:t>
            </w:r>
          </w:p>
        </w:tc>
        <w:tc>
          <w:tcPr>
            <w:tcW w:w="870" w:type="dxa"/>
            <w:tcBorders>
              <w:top w:val="nil"/>
              <w:left w:val="nil"/>
              <w:bottom w:val="nil"/>
              <w:right w:val="nil"/>
            </w:tcBorders>
            <w:tcMar>
              <w:top w:w="20" w:type="dxa"/>
              <w:left w:w="20" w:type="dxa"/>
              <w:bottom w:w="100" w:type="dxa"/>
              <w:right w:w="20" w:type="dxa"/>
            </w:tcMar>
          </w:tcPr>
          <w:p w14:paraId="0EF8A520" w14:textId="77777777" w:rsidR="00340A38" w:rsidRDefault="00000000">
            <w:pPr>
              <w:spacing w:after="0" w:line="240" w:lineRule="auto"/>
              <w:jc w:val="center"/>
              <w:rPr>
                <w:sz w:val="18"/>
                <w:szCs w:val="18"/>
              </w:rPr>
            </w:pPr>
            <w:r>
              <w:rPr>
                <w:sz w:val="18"/>
                <w:szCs w:val="18"/>
              </w:rPr>
              <w:t>0.000409</w:t>
            </w:r>
          </w:p>
        </w:tc>
        <w:tc>
          <w:tcPr>
            <w:tcW w:w="1200" w:type="dxa"/>
            <w:tcBorders>
              <w:top w:val="nil"/>
              <w:left w:val="nil"/>
              <w:bottom w:val="nil"/>
              <w:right w:val="nil"/>
            </w:tcBorders>
            <w:tcMar>
              <w:top w:w="20" w:type="dxa"/>
              <w:left w:w="20" w:type="dxa"/>
              <w:bottom w:w="100" w:type="dxa"/>
              <w:right w:w="20" w:type="dxa"/>
            </w:tcMar>
          </w:tcPr>
          <w:p w14:paraId="73E38587" w14:textId="77777777" w:rsidR="00340A38" w:rsidRDefault="00000000">
            <w:pPr>
              <w:spacing w:after="0" w:line="240" w:lineRule="auto"/>
              <w:jc w:val="center"/>
              <w:rPr>
                <w:sz w:val="18"/>
                <w:szCs w:val="18"/>
              </w:rPr>
            </w:pPr>
            <w:r>
              <w:rPr>
                <w:sz w:val="18"/>
                <w:szCs w:val="18"/>
              </w:rPr>
              <w:t>-0.000446</w:t>
            </w:r>
          </w:p>
        </w:tc>
        <w:tc>
          <w:tcPr>
            <w:tcW w:w="1440" w:type="dxa"/>
            <w:tcBorders>
              <w:top w:val="nil"/>
              <w:left w:val="nil"/>
              <w:bottom w:val="nil"/>
              <w:right w:val="nil"/>
            </w:tcBorders>
            <w:tcMar>
              <w:top w:w="20" w:type="dxa"/>
              <w:left w:w="20" w:type="dxa"/>
              <w:bottom w:w="100" w:type="dxa"/>
              <w:right w:w="20" w:type="dxa"/>
            </w:tcMar>
          </w:tcPr>
          <w:p w14:paraId="7A868220" w14:textId="77777777" w:rsidR="00340A38" w:rsidRDefault="00000000">
            <w:pPr>
              <w:spacing w:after="0" w:line="240" w:lineRule="auto"/>
              <w:jc w:val="center"/>
              <w:rPr>
                <w:sz w:val="18"/>
                <w:szCs w:val="18"/>
              </w:rPr>
            </w:pPr>
            <w:r>
              <w:rPr>
                <w:sz w:val="18"/>
                <w:szCs w:val="18"/>
              </w:rPr>
              <w:t>-0.000500**</w:t>
            </w:r>
          </w:p>
        </w:tc>
      </w:tr>
      <w:tr w:rsidR="00340A38" w14:paraId="1164001A" w14:textId="77777777">
        <w:trPr>
          <w:trHeight w:val="315"/>
        </w:trPr>
        <w:tc>
          <w:tcPr>
            <w:tcW w:w="855" w:type="dxa"/>
            <w:tcBorders>
              <w:top w:val="nil"/>
              <w:left w:val="nil"/>
              <w:bottom w:val="nil"/>
              <w:right w:val="nil"/>
            </w:tcBorders>
            <w:tcMar>
              <w:top w:w="20" w:type="dxa"/>
              <w:left w:w="20" w:type="dxa"/>
              <w:bottom w:w="100" w:type="dxa"/>
              <w:right w:w="20" w:type="dxa"/>
            </w:tcMar>
          </w:tcPr>
          <w:p w14:paraId="15E2562D" w14:textId="77777777" w:rsidR="00340A38" w:rsidRDefault="00340A38">
            <w:pPr>
              <w:spacing w:after="0" w:line="240" w:lineRule="auto"/>
              <w:jc w:val="center"/>
              <w:rPr>
                <w:sz w:val="18"/>
                <w:szCs w:val="18"/>
              </w:rPr>
            </w:pPr>
          </w:p>
        </w:tc>
        <w:tc>
          <w:tcPr>
            <w:tcW w:w="1020" w:type="dxa"/>
            <w:tcBorders>
              <w:top w:val="nil"/>
              <w:left w:val="nil"/>
              <w:bottom w:val="nil"/>
              <w:right w:val="nil"/>
            </w:tcBorders>
            <w:tcMar>
              <w:top w:w="20" w:type="dxa"/>
              <w:left w:w="20" w:type="dxa"/>
              <w:bottom w:w="100" w:type="dxa"/>
              <w:right w:w="20" w:type="dxa"/>
            </w:tcMar>
          </w:tcPr>
          <w:p w14:paraId="2710C554" w14:textId="77777777" w:rsidR="00340A38" w:rsidRDefault="00000000">
            <w:pPr>
              <w:spacing w:after="0" w:line="240" w:lineRule="auto"/>
              <w:jc w:val="center"/>
              <w:rPr>
                <w:sz w:val="18"/>
                <w:szCs w:val="18"/>
              </w:rPr>
            </w:pPr>
            <w:r>
              <w:rPr>
                <w:sz w:val="18"/>
                <w:szCs w:val="18"/>
              </w:rPr>
              <w:t>-0.00157</w:t>
            </w:r>
          </w:p>
        </w:tc>
        <w:tc>
          <w:tcPr>
            <w:tcW w:w="1260" w:type="dxa"/>
            <w:tcBorders>
              <w:top w:val="nil"/>
              <w:left w:val="nil"/>
              <w:bottom w:val="nil"/>
              <w:right w:val="nil"/>
            </w:tcBorders>
            <w:tcMar>
              <w:top w:w="20" w:type="dxa"/>
              <w:left w:w="20" w:type="dxa"/>
              <w:bottom w:w="100" w:type="dxa"/>
              <w:right w:w="20" w:type="dxa"/>
            </w:tcMar>
          </w:tcPr>
          <w:p w14:paraId="496EFE35" w14:textId="77777777" w:rsidR="00340A38" w:rsidRDefault="00000000">
            <w:pPr>
              <w:spacing w:after="0" w:line="240" w:lineRule="auto"/>
              <w:jc w:val="center"/>
              <w:rPr>
                <w:sz w:val="18"/>
                <w:szCs w:val="18"/>
              </w:rPr>
            </w:pPr>
            <w:r>
              <w:rPr>
                <w:sz w:val="18"/>
                <w:szCs w:val="18"/>
              </w:rPr>
              <w:t>-0.000157</w:t>
            </w:r>
          </w:p>
        </w:tc>
        <w:tc>
          <w:tcPr>
            <w:tcW w:w="1095" w:type="dxa"/>
            <w:tcBorders>
              <w:top w:val="nil"/>
              <w:left w:val="nil"/>
              <w:bottom w:val="nil"/>
              <w:right w:val="nil"/>
            </w:tcBorders>
            <w:tcMar>
              <w:top w:w="20" w:type="dxa"/>
              <w:left w:w="20" w:type="dxa"/>
              <w:bottom w:w="100" w:type="dxa"/>
              <w:right w:w="20" w:type="dxa"/>
            </w:tcMar>
          </w:tcPr>
          <w:p w14:paraId="421B172A" w14:textId="77777777" w:rsidR="00340A38" w:rsidRDefault="00000000">
            <w:pPr>
              <w:spacing w:after="0" w:line="240" w:lineRule="auto"/>
              <w:jc w:val="center"/>
              <w:rPr>
                <w:sz w:val="18"/>
                <w:szCs w:val="18"/>
              </w:rPr>
            </w:pPr>
            <w:r>
              <w:rPr>
                <w:sz w:val="18"/>
                <w:szCs w:val="18"/>
              </w:rPr>
              <w:t>-0.00111</w:t>
            </w:r>
          </w:p>
        </w:tc>
        <w:tc>
          <w:tcPr>
            <w:tcW w:w="1035" w:type="dxa"/>
            <w:tcBorders>
              <w:top w:val="nil"/>
              <w:left w:val="nil"/>
              <w:bottom w:val="nil"/>
              <w:right w:val="nil"/>
            </w:tcBorders>
            <w:tcMar>
              <w:top w:w="20" w:type="dxa"/>
              <w:left w:w="20" w:type="dxa"/>
              <w:bottom w:w="100" w:type="dxa"/>
              <w:right w:w="20" w:type="dxa"/>
            </w:tcMar>
          </w:tcPr>
          <w:p w14:paraId="24546CEB" w14:textId="77777777" w:rsidR="00340A38" w:rsidRDefault="00000000">
            <w:pPr>
              <w:spacing w:after="0" w:line="240" w:lineRule="auto"/>
              <w:jc w:val="center"/>
              <w:rPr>
                <w:sz w:val="18"/>
                <w:szCs w:val="18"/>
              </w:rPr>
            </w:pPr>
            <w:r>
              <w:rPr>
                <w:sz w:val="18"/>
                <w:szCs w:val="18"/>
              </w:rPr>
              <w:t>-0.000555</w:t>
            </w:r>
          </w:p>
        </w:tc>
        <w:tc>
          <w:tcPr>
            <w:tcW w:w="1260" w:type="dxa"/>
            <w:tcBorders>
              <w:top w:val="nil"/>
              <w:left w:val="nil"/>
              <w:bottom w:val="nil"/>
              <w:right w:val="nil"/>
            </w:tcBorders>
            <w:tcMar>
              <w:top w:w="20" w:type="dxa"/>
              <w:left w:w="20" w:type="dxa"/>
              <w:bottom w:w="100" w:type="dxa"/>
              <w:right w:w="20" w:type="dxa"/>
            </w:tcMar>
          </w:tcPr>
          <w:p w14:paraId="55E331DC" w14:textId="77777777" w:rsidR="00340A38" w:rsidRDefault="00000000">
            <w:pPr>
              <w:spacing w:after="0" w:line="240" w:lineRule="auto"/>
              <w:jc w:val="center"/>
              <w:rPr>
                <w:sz w:val="18"/>
                <w:szCs w:val="18"/>
              </w:rPr>
            </w:pPr>
            <w:r>
              <w:rPr>
                <w:sz w:val="18"/>
                <w:szCs w:val="18"/>
              </w:rPr>
              <w:t>-0.00189</w:t>
            </w:r>
          </w:p>
        </w:tc>
        <w:tc>
          <w:tcPr>
            <w:tcW w:w="870" w:type="dxa"/>
            <w:tcBorders>
              <w:top w:val="nil"/>
              <w:left w:val="nil"/>
              <w:bottom w:val="nil"/>
              <w:right w:val="nil"/>
            </w:tcBorders>
            <w:tcMar>
              <w:top w:w="20" w:type="dxa"/>
              <w:left w:w="20" w:type="dxa"/>
              <w:bottom w:w="100" w:type="dxa"/>
              <w:right w:w="20" w:type="dxa"/>
            </w:tcMar>
          </w:tcPr>
          <w:p w14:paraId="07FCB17F" w14:textId="77777777" w:rsidR="00340A38" w:rsidRDefault="00000000">
            <w:pPr>
              <w:spacing w:after="0" w:line="240" w:lineRule="auto"/>
              <w:jc w:val="center"/>
              <w:rPr>
                <w:sz w:val="18"/>
                <w:szCs w:val="18"/>
              </w:rPr>
            </w:pPr>
            <w:r>
              <w:rPr>
                <w:sz w:val="18"/>
                <w:szCs w:val="18"/>
              </w:rPr>
              <w:t>-0.000714</w:t>
            </w:r>
          </w:p>
        </w:tc>
        <w:tc>
          <w:tcPr>
            <w:tcW w:w="1200" w:type="dxa"/>
            <w:tcBorders>
              <w:top w:val="nil"/>
              <w:left w:val="nil"/>
              <w:bottom w:val="nil"/>
              <w:right w:val="nil"/>
            </w:tcBorders>
            <w:tcMar>
              <w:top w:w="20" w:type="dxa"/>
              <w:left w:w="20" w:type="dxa"/>
              <w:bottom w:w="100" w:type="dxa"/>
              <w:right w:w="20" w:type="dxa"/>
            </w:tcMar>
          </w:tcPr>
          <w:p w14:paraId="0432102F" w14:textId="77777777" w:rsidR="00340A38" w:rsidRDefault="00000000">
            <w:pPr>
              <w:spacing w:after="0" w:line="240" w:lineRule="auto"/>
              <w:jc w:val="center"/>
              <w:rPr>
                <w:sz w:val="18"/>
                <w:szCs w:val="18"/>
              </w:rPr>
            </w:pPr>
            <w:r>
              <w:rPr>
                <w:sz w:val="18"/>
                <w:szCs w:val="18"/>
              </w:rPr>
              <w:t>-0.000799</w:t>
            </w:r>
          </w:p>
        </w:tc>
        <w:tc>
          <w:tcPr>
            <w:tcW w:w="1440" w:type="dxa"/>
            <w:tcBorders>
              <w:top w:val="nil"/>
              <w:left w:val="nil"/>
              <w:bottom w:val="nil"/>
              <w:right w:val="nil"/>
            </w:tcBorders>
            <w:tcMar>
              <w:top w:w="20" w:type="dxa"/>
              <w:left w:w="20" w:type="dxa"/>
              <w:bottom w:w="100" w:type="dxa"/>
              <w:right w:w="20" w:type="dxa"/>
            </w:tcMar>
          </w:tcPr>
          <w:p w14:paraId="0FA393A6" w14:textId="77777777" w:rsidR="00340A38" w:rsidRDefault="00000000">
            <w:pPr>
              <w:spacing w:after="0" w:line="240" w:lineRule="auto"/>
              <w:jc w:val="center"/>
              <w:rPr>
                <w:sz w:val="18"/>
                <w:szCs w:val="18"/>
              </w:rPr>
            </w:pPr>
            <w:r>
              <w:rPr>
                <w:sz w:val="18"/>
                <w:szCs w:val="18"/>
              </w:rPr>
              <w:t>-0.000231</w:t>
            </w:r>
          </w:p>
        </w:tc>
      </w:tr>
      <w:tr w:rsidR="00340A38" w14:paraId="23AEAE4E" w14:textId="77777777">
        <w:trPr>
          <w:trHeight w:val="315"/>
        </w:trPr>
        <w:tc>
          <w:tcPr>
            <w:tcW w:w="855" w:type="dxa"/>
            <w:tcBorders>
              <w:top w:val="nil"/>
              <w:left w:val="nil"/>
              <w:bottom w:val="nil"/>
              <w:right w:val="nil"/>
            </w:tcBorders>
            <w:tcMar>
              <w:top w:w="20" w:type="dxa"/>
              <w:left w:w="20" w:type="dxa"/>
              <w:bottom w:w="100" w:type="dxa"/>
              <w:right w:w="20" w:type="dxa"/>
            </w:tcMar>
          </w:tcPr>
          <w:p w14:paraId="4464B325" w14:textId="77777777" w:rsidR="00340A38" w:rsidRDefault="00000000">
            <w:pPr>
              <w:spacing w:after="0" w:line="240" w:lineRule="auto"/>
              <w:jc w:val="center"/>
              <w:rPr>
                <w:sz w:val="18"/>
                <w:szCs w:val="18"/>
              </w:rPr>
            </w:pPr>
            <w:r>
              <w:rPr>
                <w:sz w:val="18"/>
                <w:szCs w:val="18"/>
              </w:rPr>
              <w:t>TANG</w:t>
            </w:r>
          </w:p>
        </w:tc>
        <w:tc>
          <w:tcPr>
            <w:tcW w:w="1020" w:type="dxa"/>
            <w:tcBorders>
              <w:top w:val="nil"/>
              <w:left w:val="nil"/>
              <w:bottom w:val="nil"/>
              <w:right w:val="nil"/>
            </w:tcBorders>
            <w:tcMar>
              <w:top w:w="20" w:type="dxa"/>
              <w:left w:w="20" w:type="dxa"/>
              <w:bottom w:w="100" w:type="dxa"/>
              <w:right w:w="20" w:type="dxa"/>
            </w:tcMar>
          </w:tcPr>
          <w:p w14:paraId="66397A24" w14:textId="77777777" w:rsidR="00340A38" w:rsidRDefault="00000000">
            <w:pPr>
              <w:spacing w:after="0" w:line="240" w:lineRule="auto"/>
              <w:jc w:val="center"/>
              <w:rPr>
                <w:sz w:val="18"/>
                <w:szCs w:val="18"/>
              </w:rPr>
            </w:pPr>
            <w:r>
              <w:rPr>
                <w:sz w:val="18"/>
                <w:szCs w:val="18"/>
              </w:rPr>
              <w:t>-0.550***</w:t>
            </w:r>
          </w:p>
        </w:tc>
        <w:tc>
          <w:tcPr>
            <w:tcW w:w="1260" w:type="dxa"/>
            <w:tcBorders>
              <w:top w:val="nil"/>
              <w:left w:val="nil"/>
              <w:bottom w:val="nil"/>
              <w:right w:val="nil"/>
            </w:tcBorders>
            <w:tcMar>
              <w:top w:w="20" w:type="dxa"/>
              <w:left w:w="20" w:type="dxa"/>
              <w:bottom w:w="100" w:type="dxa"/>
              <w:right w:w="20" w:type="dxa"/>
            </w:tcMar>
          </w:tcPr>
          <w:p w14:paraId="460F9FE7" w14:textId="77777777" w:rsidR="00340A38" w:rsidRDefault="00000000">
            <w:pPr>
              <w:spacing w:after="0" w:line="240" w:lineRule="auto"/>
              <w:jc w:val="center"/>
              <w:rPr>
                <w:sz w:val="18"/>
                <w:szCs w:val="18"/>
              </w:rPr>
            </w:pPr>
            <w:r>
              <w:rPr>
                <w:sz w:val="18"/>
                <w:szCs w:val="18"/>
              </w:rPr>
              <w:t>-0.811***</w:t>
            </w:r>
          </w:p>
        </w:tc>
        <w:tc>
          <w:tcPr>
            <w:tcW w:w="1095" w:type="dxa"/>
            <w:tcBorders>
              <w:top w:val="nil"/>
              <w:left w:val="nil"/>
              <w:bottom w:val="nil"/>
              <w:right w:val="nil"/>
            </w:tcBorders>
            <w:tcMar>
              <w:top w:w="20" w:type="dxa"/>
              <w:left w:w="20" w:type="dxa"/>
              <w:bottom w:w="100" w:type="dxa"/>
              <w:right w:w="20" w:type="dxa"/>
            </w:tcMar>
          </w:tcPr>
          <w:p w14:paraId="60763F2D" w14:textId="77777777" w:rsidR="00340A38" w:rsidRDefault="00000000">
            <w:pPr>
              <w:spacing w:after="0" w:line="240" w:lineRule="auto"/>
              <w:jc w:val="center"/>
              <w:rPr>
                <w:sz w:val="18"/>
                <w:szCs w:val="18"/>
              </w:rPr>
            </w:pPr>
            <w:r>
              <w:rPr>
                <w:sz w:val="18"/>
                <w:szCs w:val="18"/>
              </w:rPr>
              <w:t>-0.667***</w:t>
            </w:r>
          </w:p>
        </w:tc>
        <w:tc>
          <w:tcPr>
            <w:tcW w:w="1035" w:type="dxa"/>
            <w:tcBorders>
              <w:top w:val="nil"/>
              <w:left w:val="nil"/>
              <w:bottom w:val="nil"/>
              <w:right w:val="nil"/>
            </w:tcBorders>
            <w:tcMar>
              <w:top w:w="20" w:type="dxa"/>
              <w:left w:w="20" w:type="dxa"/>
              <w:bottom w:w="100" w:type="dxa"/>
              <w:right w:w="20" w:type="dxa"/>
            </w:tcMar>
          </w:tcPr>
          <w:p w14:paraId="33628E85" w14:textId="77777777" w:rsidR="00340A38" w:rsidRDefault="00000000">
            <w:pPr>
              <w:spacing w:after="0" w:line="240" w:lineRule="auto"/>
              <w:jc w:val="center"/>
              <w:rPr>
                <w:sz w:val="18"/>
                <w:szCs w:val="18"/>
              </w:rPr>
            </w:pPr>
            <w:r>
              <w:rPr>
                <w:sz w:val="18"/>
                <w:szCs w:val="18"/>
              </w:rPr>
              <w:t>-1.027***</w:t>
            </w:r>
          </w:p>
        </w:tc>
        <w:tc>
          <w:tcPr>
            <w:tcW w:w="1260" w:type="dxa"/>
            <w:tcBorders>
              <w:top w:val="nil"/>
              <w:left w:val="nil"/>
              <w:bottom w:val="nil"/>
              <w:right w:val="nil"/>
            </w:tcBorders>
            <w:tcMar>
              <w:top w:w="20" w:type="dxa"/>
              <w:left w:w="20" w:type="dxa"/>
              <w:bottom w:w="100" w:type="dxa"/>
              <w:right w:w="20" w:type="dxa"/>
            </w:tcMar>
          </w:tcPr>
          <w:p w14:paraId="670250BE" w14:textId="77777777" w:rsidR="00340A38" w:rsidRDefault="00000000">
            <w:pPr>
              <w:spacing w:after="0" w:line="240" w:lineRule="auto"/>
              <w:jc w:val="center"/>
              <w:rPr>
                <w:sz w:val="18"/>
                <w:szCs w:val="18"/>
              </w:rPr>
            </w:pPr>
            <w:r>
              <w:rPr>
                <w:sz w:val="18"/>
                <w:szCs w:val="18"/>
              </w:rPr>
              <w:t>-0.279***</w:t>
            </w:r>
          </w:p>
        </w:tc>
        <w:tc>
          <w:tcPr>
            <w:tcW w:w="870" w:type="dxa"/>
            <w:tcBorders>
              <w:top w:val="nil"/>
              <w:left w:val="nil"/>
              <w:bottom w:val="nil"/>
              <w:right w:val="nil"/>
            </w:tcBorders>
            <w:tcMar>
              <w:top w:w="20" w:type="dxa"/>
              <w:left w:w="20" w:type="dxa"/>
              <w:bottom w:w="100" w:type="dxa"/>
              <w:right w:w="20" w:type="dxa"/>
            </w:tcMar>
          </w:tcPr>
          <w:p w14:paraId="5EE06D5A" w14:textId="77777777" w:rsidR="00340A38" w:rsidRDefault="00000000">
            <w:pPr>
              <w:spacing w:after="0" w:line="240" w:lineRule="auto"/>
              <w:jc w:val="center"/>
              <w:rPr>
                <w:sz w:val="18"/>
                <w:szCs w:val="18"/>
              </w:rPr>
            </w:pPr>
            <w:r>
              <w:rPr>
                <w:sz w:val="18"/>
                <w:szCs w:val="18"/>
              </w:rPr>
              <w:t>-0.942***</w:t>
            </w:r>
          </w:p>
        </w:tc>
        <w:tc>
          <w:tcPr>
            <w:tcW w:w="1200" w:type="dxa"/>
            <w:tcBorders>
              <w:top w:val="nil"/>
              <w:left w:val="nil"/>
              <w:bottom w:val="nil"/>
              <w:right w:val="nil"/>
            </w:tcBorders>
            <w:tcMar>
              <w:top w:w="20" w:type="dxa"/>
              <w:left w:w="20" w:type="dxa"/>
              <w:bottom w:w="100" w:type="dxa"/>
              <w:right w:w="20" w:type="dxa"/>
            </w:tcMar>
          </w:tcPr>
          <w:p w14:paraId="62CFF7D9" w14:textId="77777777" w:rsidR="00340A38" w:rsidRDefault="00000000">
            <w:pPr>
              <w:spacing w:after="0" w:line="240" w:lineRule="auto"/>
              <w:jc w:val="center"/>
              <w:rPr>
                <w:sz w:val="18"/>
                <w:szCs w:val="18"/>
              </w:rPr>
            </w:pPr>
            <w:r>
              <w:rPr>
                <w:sz w:val="18"/>
                <w:szCs w:val="18"/>
              </w:rPr>
              <w:t>-0.813***</w:t>
            </w:r>
          </w:p>
        </w:tc>
        <w:tc>
          <w:tcPr>
            <w:tcW w:w="1440" w:type="dxa"/>
            <w:tcBorders>
              <w:top w:val="nil"/>
              <w:left w:val="nil"/>
              <w:bottom w:val="nil"/>
              <w:right w:val="nil"/>
            </w:tcBorders>
            <w:tcMar>
              <w:top w:w="20" w:type="dxa"/>
              <w:left w:w="20" w:type="dxa"/>
              <w:bottom w:w="100" w:type="dxa"/>
              <w:right w:w="20" w:type="dxa"/>
            </w:tcMar>
          </w:tcPr>
          <w:p w14:paraId="5F643E16" w14:textId="77777777" w:rsidR="00340A38" w:rsidRDefault="00000000">
            <w:pPr>
              <w:spacing w:after="0" w:line="240" w:lineRule="auto"/>
              <w:jc w:val="center"/>
              <w:rPr>
                <w:sz w:val="18"/>
                <w:szCs w:val="18"/>
              </w:rPr>
            </w:pPr>
            <w:r>
              <w:rPr>
                <w:sz w:val="18"/>
                <w:szCs w:val="18"/>
              </w:rPr>
              <w:t>-0.938***</w:t>
            </w:r>
          </w:p>
        </w:tc>
      </w:tr>
      <w:tr w:rsidR="00340A38" w14:paraId="11BFD74C" w14:textId="77777777">
        <w:trPr>
          <w:trHeight w:val="315"/>
        </w:trPr>
        <w:tc>
          <w:tcPr>
            <w:tcW w:w="855" w:type="dxa"/>
            <w:tcBorders>
              <w:top w:val="nil"/>
              <w:left w:val="nil"/>
              <w:bottom w:val="nil"/>
              <w:right w:val="nil"/>
            </w:tcBorders>
            <w:tcMar>
              <w:top w:w="20" w:type="dxa"/>
              <w:left w:w="20" w:type="dxa"/>
              <w:bottom w:w="100" w:type="dxa"/>
              <w:right w:w="20" w:type="dxa"/>
            </w:tcMar>
          </w:tcPr>
          <w:p w14:paraId="7F61B7C8" w14:textId="77777777" w:rsidR="00340A38" w:rsidRDefault="00340A38">
            <w:pPr>
              <w:spacing w:after="0" w:line="240" w:lineRule="auto"/>
              <w:jc w:val="center"/>
              <w:rPr>
                <w:sz w:val="18"/>
                <w:szCs w:val="18"/>
              </w:rPr>
            </w:pPr>
          </w:p>
        </w:tc>
        <w:tc>
          <w:tcPr>
            <w:tcW w:w="1020" w:type="dxa"/>
            <w:tcBorders>
              <w:top w:val="nil"/>
              <w:left w:val="nil"/>
              <w:bottom w:val="nil"/>
              <w:right w:val="nil"/>
            </w:tcBorders>
            <w:tcMar>
              <w:top w:w="20" w:type="dxa"/>
              <w:left w:w="20" w:type="dxa"/>
              <w:bottom w:w="100" w:type="dxa"/>
              <w:right w:w="20" w:type="dxa"/>
            </w:tcMar>
          </w:tcPr>
          <w:p w14:paraId="62D45E81" w14:textId="77777777" w:rsidR="00340A38" w:rsidRDefault="00000000">
            <w:pPr>
              <w:spacing w:after="0" w:line="240" w:lineRule="auto"/>
              <w:jc w:val="center"/>
              <w:rPr>
                <w:sz w:val="18"/>
                <w:szCs w:val="18"/>
              </w:rPr>
            </w:pPr>
            <w:r>
              <w:rPr>
                <w:sz w:val="18"/>
                <w:szCs w:val="18"/>
              </w:rPr>
              <w:t>-0.0876</w:t>
            </w:r>
          </w:p>
        </w:tc>
        <w:tc>
          <w:tcPr>
            <w:tcW w:w="1260" w:type="dxa"/>
            <w:tcBorders>
              <w:top w:val="nil"/>
              <w:left w:val="nil"/>
              <w:bottom w:val="nil"/>
              <w:right w:val="nil"/>
            </w:tcBorders>
            <w:tcMar>
              <w:top w:w="20" w:type="dxa"/>
              <w:left w:w="20" w:type="dxa"/>
              <w:bottom w:w="100" w:type="dxa"/>
              <w:right w:w="20" w:type="dxa"/>
            </w:tcMar>
          </w:tcPr>
          <w:p w14:paraId="083A5575" w14:textId="77777777" w:rsidR="00340A38" w:rsidRDefault="00000000">
            <w:pPr>
              <w:spacing w:after="0" w:line="240" w:lineRule="auto"/>
              <w:jc w:val="center"/>
              <w:rPr>
                <w:sz w:val="18"/>
                <w:szCs w:val="18"/>
              </w:rPr>
            </w:pPr>
            <w:r>
              <w:rPr>
                <w:sz w:val="18"/>
                <w:szCs w:val="18"/>
              </w:rPr>
              <w:t>-0.00636</w:t>
            </w:r>
          </w:p>
        </w:tc>
        <w:tc>
          <w:tcPr>
            <w:tcW w:w="1095" w:type="dxa"/>
            <w:tcBorders>
              <w:top w:val="nil"/>
              <w:left w:val="nil"/>
              <w:bottom w:val="nil"/>
              <w:right w:val="nil"/>
            </w:tcBorders>
            <w:tcMar>
              <w:top w:w="20" w:type="dxa"/>
              <w:left w:w="20" w:type="dxa"/>
              <w:bottom w:w="100" w:type="dxa"/>
              <w:right w:w="20" w:type="dxa"/>
            </w:tcMar>
          </w:tcPr>
          <w:p w14:paraId="40ED0DC5" w14:textId="77777777" w:rsidR="00340A38" w:rsidRDefault="00000000">
            <w:pPr>
              <w:spacing w:after="0" w:line="240" w:lineRule="auto"/>
              <w:jc w:val="center"/>
              <w:rPr>
                <w:sz w:val="18"/>
                <w:szCs w:val="18"/>
              </w:rPr>
            </w:pPr>
            <w:r>
              <w:rPr>
                <w:sz w:val="18"/>
                <w:szCs w:val="18"/>
              </w:rPr>
              <w:t>-0.0381</w:t>
            </w:r>
          </w:p>
        </w:tc>
        <w:tc>
          <w:tcPr>
            <w:tcW w:w="1035" w:type="dxa"/>
            <w:tcBorders>
              <w:top w:val="nil"/>
              <w:left w:val="nil"/>
              <w:bottom w:val="nil"/>
              <w:right w:val="nil"/>
            </w:tcBorders>
            <w:tcMar>
              <w:top w:w="20" w:type="dxa"/>
              <w:left w:w="20" w:type="dxa"/>
              <w:bottom w:w="100" w:type="dxa"/>
              <w:right w:w="20" w:type="dxa"/>
            </w:tcMar>
          </w:tcPr>
          <w:p w14:paraId="6136151B" w14:textId="77777777" w:rsidR="00340A38" w:rsidRDefault="00000000">
            <w:pPr>
              <w:spacing w:after="0" w:line="240" w:lineRule="auto"/>
              <w:jc w:val="center"/>
              <w:rPr>
                <w:sz w:val="18"/>
                <w:szCs w:val="18"/>
              </w:rPr>
            </w:pPr>
            <w:r>
              <w:rPr>
                <w:sz w:val="18"/>
                <w:szCs w:val="18"/>
              </w:rPr>
              <w:t>-0.0183</w:t>
            </w:r>
          </w:p>
        </w:tc>
        <w:tc>
          <w:tcPr>
            <w:tcW w:w="1260" w:type="dxa"/>
            <w:tcBorders>
              <w:top w:val="nil"/>
              <w:left w:val="nil"/>
              <w:bottom w:val="nil"/>
              <w:right w:val="nil"/>
            </w:tcBorders>
            <w:tcMar>
              <w:top w:w="20" w:type="dxa"/>
              <w:left w:w="20" w:type="dxa"/>
              <w:bottom w:w="100" w:type="dxa"/>
              <w:right w:w="20" w:type="dxa"/>
            </w:tcMar>
          </w:tcPr>
          <w:p w14:paraId="72D4A524" w14:textId="77777777" w:rsidR="00340A38" w:rsidRDefault="00000000">
            <w:pPr>
              <w:spacing w:after="0" w:line="240" w:lineRule="auto"/>
              <w:jc w:val="center"/>
              <w:rPr>
                <w:sz w:val="18"/>
                <w:szCs w:val="18"/>
              </w:rPr>
            </w:pPr>
            <w:r>
              <w:rPr>
                <w:sz w:val="18"/>
                <w:szCs w:val="18"/>
              </w:rPr>
              <w:t>-0.0256</w:t>
            </w:r>
          </w:p>
        </w:tc>
        <w:tc>
          <w:tcPr>
            <w:tcW w:w="870" w:type="dxa"/>
            <w:tcBorders>
              <w:top w:val="nil"/>
              <w:left w:val="nil"/>
              <w:bottom w:val="nil"/>
              <w:right w:val="nil"/>
            </w:tcBorders>
            <w:tcMar>
              <w:top w:w="20" w:type="dxa"/>
              <w:left w:w="20" w:type="dxa"/>
              <w:bottom w:w="100" w:type="dxa"/>
              <w:right w:w="20" w:type="dxa"/>
            </w:tcMar>
          </w:tcPr>
          <w:p w14:paraId="62D04B57" w14:textId="77777777" w:rsidR="00340A38" w:rsidRDefault="00000000">
            <w:pPr>
              <w:spacing w:after="0" w:line="240" w:lineRule="auto"/>
              <w:jc w:val="center"/>
              <w:rPr>
                <w:sz w:val="18"/>
                <w:szCs w:val="18"/>
              </w:rPr>
            </w:pPr>
            <w:r>
              <w:rPr>
                <w:sz w:val="18"/>
                <w:szCs w:val="18"/>
              </w:rPr>
              <w:t>-0.0125</w:t>
            </w:r>
          </w:p>
        </w:tc>
        <w:tc>
          <w:tcPr>
            <w:tcW w:w="1200" w:type="dxa"/>
            <w:tcBorders>
              <w:top w:val="nil"/>
              <w:left w:val="nil"/>
              <w:bottom w:val="nil"/>
              <w:right w:val="nil"/>
            </w:tcBorders>
            <w:tcMar>
              <w:top w:w="20" w:type="dxa"/>
              <w:left w:w="20" w:type="dxa"/>
              <w:bottom w:w="100" w:type="dxa"/>
              <w:right w:w="20" w:type="dxa"/>
            </w:tcMar>
          </w:tcPr>
          <w:p w14:paraId="6BE72CC8" w14:textId="77777777" w:rsidR="00340A38" w:rsidRDefault="00000000">
            <w:pPr>
              <w:spacing w:after="0" w:line="240" w:lineRule="auto"/>
              <w:jc w:val="center"/>
              <w:rPr>
                <w:sz w:val="18"/>
                <w:szCs w:val="18"/>
              </w:rPr>
            </w:pPr>
            <w:r>
              <w:rPr>
                <w:sz w:val="18"/>
                <w:szCs w:val="18"/>
              </w:rPr>
              <w:t>-0.0378</w:t>
            </w:r>
          </w:p>
        </w:tc>
        <w:tc>
          <w:tcPr>
            <w:tcW w:w="1440" w:type="dxa"/>
            <w:tcBorders>
              <w:top w:val="nil"/>
              <w:left w:val="nil"/>
              <w:bottom w:val="nil"/>
              <w:right w:val="nil"/>
            </w:tcBorders>
            <w:tcMar>
              <w:top w:w="20" w:type="dxa"/>
              <w:left w:w="20" w:type="dxa"/>
              <w:bottom w:w="100" w:type="dxa"/>
              <w:right w:w="20" w:type="dxa"/>
            </w:tcMar>
          </w:tcPr>
          <w:p w14:paraId="1EADEF3E" w14:textId="77777777" w:rsidR="00340A38" w:rsidRDefault="00000000">
            <w:pPr>
              <w:spacing w:after="0" w:line="240" w:lineRule="auto"/>
              <w:jc w:val="center"/>
              <w:rPr>
                <w:sz w:val="18"/>
                <w:szCs w:val="18"/>
              </w:rPr>
            </w:pPr>
            <w:r>
              <w:rPr>
                <w:sz w:val="18"/>
                <w:szCs w:val="18"/>
              </w:rPr>
              <w:t>-0.0216</w:t>
            </w:r>
          </w:p>
        </w:tc>
      </w:tr>
      <w:tr w:rsidR="00340A38" w14:paraId="71AA3509" w14:textId="77777777">
        <w:trPr>
          <w:trHeight w:val="315"/>
        </w:trPr>
        <w:tc>
          <w:tcPr>
            <w:tcW w:w="855" w:type="dxa"/>
            <w:tcBorders>
              <w:top w:val="nil"/>
              <w:left w:val="nil"/>
              <w:bottom w:val="nil"/>
              <w:right w:val="nil"/>
            </w:tcBorders>
            <w:tcMar>
              <w:top w:w="20" w:type="dxa"/>
              <w:left w:w="20" w:type="dxa"/>
              <w:bottom w:w="100" w:type="dxa"/>
              <w:right w:w="20" w:type="dxa"/>
            </w:tcMar>
          </w:tcPr>
          <w:p w14:paraId="07B333D0" w14:textId="77777777" w:rsidR="00340A38" w:rsidRDefault="00000000">
            <w:pPr>
              <w:spacing w:after="0" w:line="240" w:lineRule="auto"/>
              <w:jc w:val="center"/>
              <w:rPr>
                <w:sz w:val="18"/>
                <w:szCs w:val="18"/>
              </w:rPr>
            </w:pPr>
            <w:r>
              <w:rPr>
                <w:sz w:val="18"/>
                <w:szCs w:val="18"/>
              </w:rPr>
              <w:t>CON</w:t>
            </w:r>
          </w:p>
        </w:tc>
        <w:tc>
          <w:tcPr>
            <w:tcW w:w="1020" w:type="dxa"/>
            <w:tcBorders>
              <w:top w:val="nil"/>
              <w:left w:val="nil"/>
              <w:bottom w:val="nil"/>
              <w:right w:val="nil"/>
            </w:tcBorders>
            <w:tcMar>
              <w:top w:w="20" w:type="dxa"/>
              <w:left w:w="20" w:type="dxa"/>
              <w:bottom w:w="100" w:type="dxa"/>
              <w:right w:w="20" w:type="dxa"/>
            </w:tcMar>
          </w:tcPr>
          <w:p w14:paraId="00D764B2" w14:textId="77777777" w:rsidR="00340A38" w:rsidRDefault="00000000">
            <w:pPr>
              <w:spacing w:after="0" w:line="240" w:lineRule="auto"/>
              <w:jc w:val="center"/>
              <w:rPr>
                <w:sz w:val="18"/>
                <w:szCs w:val="18"/>
              </w:rPr>
            </w:pPr>
            <w:r>
              <w:rPr>
                <w:sz w:val="18"/>
                <w:szCs w:val="18"/>
              </w:rPr>
              <w:t>0.548*</w:t>
            </w:r>
          </w:p>
        </w:tc>
        <w:tc>
          <w:tcPr>
            <w:tcW w:w="1260" w:type="dxa"/>
            <w:tcBorders>
              <w:top w:val="nil"/>
              <w:left w:val="nil"/>
              <w:bottom w:val="nil"/>
              <w:right w:val="nil"/>
            </w:tcBorders>
            <w:tcMar>
              <w:top w:w="20" w:type="dxa"/>
              <w:left w:w="20" w:type="dxa"/>
              <w:bottom w:w="100" w:type="dxa"/>
              <w:right w:w="20" w:type="dxa"/>
            </w:tcMar>
          </w:tcPr>
          <w:p w14:paraId="623EA1A1" w14:textId="77777777" w:rsidR="00340A38" w:rsidRDefault="00000000">
            <w:pPr>
              <w:spacing w:after="0" w:line="240" w:lineRule="auto"/>
              <w:jc w:val="center"/>
              <w:rPr>
                <w:sz w:val="18"/>
                <w:szCs w:val="18"/>
              </w:rPr>
            </w:pPr>
            <w:r>
              <w:rPr>
                <w:sz w:val="18"/>
                <w:szCs w:val="18"/>
              </w:rPr>
              <w:t>0.501***</w:t>
            </w:r>
          </w:p>
        </w:tc>
        <w:tc>
          <w:tcPr>
            <w:tcW w:w="1095" w:type="dxa"/>
            <w:tcBorders>
              <w:top w:val="nil"/>
              <w:left w:val="nil"/>
              <w:bottom w:val="nil"/>
              <w:right w:val="nil"/>
            </w:tcBorders>
            <w:tcMar>
              <w:top w:w="20" w:type="dxa"/>
              <w:left w:w="20" w:type="dxa"/>
              <w:bottom w:w="100" w:type="dxa"/>
              <w:right w:w="20" w:type="dxa"/>
            </w:tcMar>
          </w:tcPr>
          <w:p w14:paraId="17CB9AB3" w14:textId="77777777" w:rsidR="00340A38" w:rsidRDefault="00000000">
            <w:pPr>
              <w:spacing w:after="0" w:line="240" w:lineRule="auto"/>
              <w:jc w:val="center"/>
              <w:rPr>
                <w:sz w:val="18"/>
                <w:szCs w:val="18"/>
              </w:rPr>
            </w:pPr>
            <w:r>
              <w:rPr>
                <w:sz w:val="18"/>
                <w:szCs w:val="18"/>
              </w:rPr>
              <w:t>0.816***</w:t>
            </w:r>
          </w:p>
        </w:tc>
        <w:tc>
          <w:tcPr>
            <w:tcW w:w="1035" w:type="dxa"/>
            <w:tcBorders>
              <w:top w:val="nil"/>
              <w:left w:val="nil"/>
              <w:bottom w:val="nil"/>
              <w:right w:val="nil"/>
            </w:tcBorders>
            <w:tcMar>
              <w:top w:w="20" w:type="dxa"/>
              <w:left w:w="20" w:type="dxa"/>
              <w:bottom w:w="100" w:type="dxa"/>
              <w:right w:w="20" w:type="dxa"/>
            </w:tcMar>
          </w:tcPr>
          <w:p w14:paraId="78FA719B" w14:textId="77777777" w:rsidR="00340A38" w:rsidRDefault="00000000">
            <w:pPr>
              <w:spacing w:after="0" w:line="240" w:lineRule="auto"/>
              <w:jc w:val="center"/>
              <w:rPr>
                <w:sz w:val="18"/>
                <w:szCs w:val="18"/>
              </w:rPr>
            </w:pPr>
            <w:r>
              <w:rPr>
                <w:sz w:val="18"/>
                <w:szCs w:val="18"/>
              </w:rPr>
              <w:t>1.198***</w:t>
            </w:r>
          </w:p>
        </w:tc>
        <w:tc>
          <w:tcPr>
            <w:tcW w:w="1260" w:type="dxa"/>
            <w:tcBorders>
              <w:top w:val="nil"/>
              <w:left w:val="nil"/>
              <w:bottom w:val="nil"/>
              <w:right w:val="nil"/>
            </w:tcBorders>
            <w:tcMar>
              <w:top w:w="20" w:type="dxa"/>
              <w:left w:w="20" w:type="dxa"/>
              <w:bottom w:w="100" w:type="dxa"/>
              <w:right w:w="20" w:type="dxa"/>
            </w:tcMar>
          </w:tcPr>
          <w:p w14:paraId="3AE54A6F" w14:textId="77777777" w:rsidR="00340A38" w:rsidRDefault="00000000">
            <w:pPr>
              <w:spacing w:after="0" w:line="240" w:lineRule="auto"/>
              <w:jc w:val="center"/>
              <w:rPr>
                <w:sz w:val="18"/>
                <w:szCs w:val="18"/>
              </w:rPr>
            </w:pPr>
            <w:r>
              <w:rPr>
                <w:sz w:val="18"/>
                <w:szCs w:val="18"/>
              </w:rPr>
              <w:t>1.554***</w:t>
            </w:r>
          </w:p>
        </w:tc>
        <w:tc>
          <w:tcPr>
            <w:tcW w:w="870" w:type="dxa"/>
            <w:tcBorders>
              <w:top w:val="nil"/>
              <w:left w:val="nil"/>
              <w:bottom w:val="nil"/>
              <w:right w:val="nil"/>
            </w:tcBorders>
            <w:tcMar>
              <w:top w:w="20" w:type="dxa"/>
              <w:left w:w="20" w:type="dxa"/>
              <w:bottom w:w="100" w:type="dxa"/>
              <w:right w:w="20" w:type="dxa"/>
            </w:tcMar>
          </w:tcPr>
          <w:p w14:paraId="09655939" w14:textId="77777777" w:rsidR="00340A38" w:rsidRDefault="00000000">
            <w:pPr>
              <w:spacing w:after="0" w:line="240" w:lineRule="auto"/>
              <w:jc w:val="center"/>
              <w:rPr>
                <w:sz w:val="18"/>
                <w:szCs w:val="18"/>
              </w:rPr>
            </w:pPr>
            <w:r>
              <w:rPr>
                <w:sz w:val="18"/>
                <w:szCs w:val="18"/>
              </w:rPr>
              <w:t>1.357***</w:t>
            </w:r>
          </w:p>
        </w:tc>
        <w:tc>
          <w:tcPr>
            <w:tcW w:w="1200" w:type="dxa"/>
            <w:tcBorders>
              <w:top w:val="nil"/>
              <w:left w:val="nil"/>
              <w:bottom w:val="nil"/>
              <w:right w:val="nil"/>
            </w:tcBorders>
            <w:tcMar>
              <w:top w:w="20" w:type="dxa"/>
              <w:left w:w="20" w:type="dxa"/>
              <w:bottom w:w="100" w:type="dxa"/>
              <w:right w:w="20" w:type="dxa"/>
            </w:tcMar>
          </w:tcPr>
          <w:p w14:paraId="101C8B78" w14:textId="77777777" w:rsidR="00340A38" w:rsidRDefault="00000000">
            <w:pPr>
              <w:spacing w:after="0" w:line="240" w:lineRule="auto"/>
              <w:jc w:val="center"/>
              <w:rPr>
                <w:sz w:val="18"/>
                <w:szCs w:val="18"/>
              </w:rPr>
            </w:pPr>
            <w:r>
              <w:rPr>
                <w:sz w:val="18"/>
                <w:szCs w:val="18"/>
              </w:rPr>
              <w:t>0.475***</w:t>
            </w:r>
          </w:p>
        </w:tc>
        <w:tc>
          <w:tcPr>
            <w:tcW w:w="1440" w:type="dxa"/>
            <w:tcBorders>
              <w:top w:val="nil"/>
              <w:left w:val="nil"/>
              <w:bottom w:val="nil"/>
              <w:right w:val="nil"/>
            </w:tcBorders>
            <w:tcMar>
              <w:top w:w="20" w:type="dxa"/>
              <w:left w:w="20" w:type="dxa"/>
              <w:bottom w:w="100" w:type="dxa"/>
              <w:right w:w="20" w:type="dxa"/>
            </w:tcMar>
          </w:tcPr>
          <w:p w14:paraId="321F3111" w14:textId="77777777" w:rsidR="00340A38" w:rsidRDefault="00000000">
            <w:pPr>
              <w:spacing w:after="0" w:line="240" w:lineRule="auto"/>
              <w:jc w:val="center"/>
              <w:rPr>
                <w:sz w:val="18"/>
                <w:szCs w:val="18"/>
              </w:rPr>
            </w:pPr>
            <w:r>
              <w:rPr>
                <w:sz w:val="18"/>
                <w:szCs w:val="18"/>
              </w:rPr>
              <w:t>0.452*</w:t>
            </w:r>
          </w:p>
        </w:tc>
      </w:tr>
      <w:tr w:rsidR="00340A38" w14:paraId="5AF42677" w14:textId="77777777">
        <w:trPr>
          <w:trHeight w:val="315"/>
        </w:trPr>
        <w:tc>
          <w:tcPr>
            <w:tcW w:w="855" w:type="dxa"/>
            <w:tcBorders>
              <w:top w:val="nil"/>
              <w:left w:val="nil"/>
              <w:bottom w:val="single" w:sz="8" w:space="0" w:color="000000"/>
              <w:right w:val="nil"/>
            </w:tcBorders>
            <w:tcMar>
              <w:top w:w="20" w:type="dxa"/>
              <w:left w:w="20" w:type="dxa"/>
              <w:bottom w:w="100" w:type="dxa"/>
              <w:right w:w="20" w:type="dxa"/>
            </w:tcMar>
          </w:tcPr>
          <w:p w14:paraId="29C18EA3" w14:textId="77777777" w:rsidR="00340A38" w:rsidRDefault="00340A38">
            <w:pPr>
              <w:spacing w:after="0" w:line="240" w:lineRule="auto"/>
              <w:jc w:val="center"/>
              <w:rPr>
                <w:sz w:val="18"/>
                <w:szCs w:val="18"/>
              </w:rPr>
            </w:pPr>
          </w:p>
        </w:tc>
        <w:tc>
          <w:tcPr>
            <w:tcW w:w="1020" w:type="dxa"/>
            <w:tcBorders>
              <w:top w:val="nil"/>
              <w:left w:val="nil"/>
              <w:bottom w:val="single" w:sz="8" w:space="0" w:color="000000"/>
              <w:right w:val="nil"/>
            </w:tcBorders>
            <w:tcMar>
              <w:top w:w="20" w:type="dxa"/>
              <w:left w:w="20" w:type="dxa"/>
              <w:bottom w:w="100" w:type="dxa"/>
              <w:right w:w="20" w:type="dxa"/>
            </w:tcMar>
          </w:tcPr>
          <w:p w14:paraId="0189BA24" w14:textId="77777777" w:rsidR="00340A38" w:rsidRDefault="00000000">
            <w:pPr>
              <w:spacing w:after="0" w:line="240" w:lineRule="auto"/>
              <w:jc w:val="center"/>
              <w:rPr>
                <w:sz w:val="18"/>
                <w:szCs w:val="18"/>
              </w:rPr>
            </w:pPr>
            <w:r>
              <w:rPr>
                <w:sz w:val="18"/>
                <w:szCs w:val="18"/>
              </w:rPr>
              <w:t>-0.321</w:t>
            </w:r>
          </w:p>
        </w:tc>
        <w:tc>
          <w:tcPr>
            <w:tcW w:w="1260" w:type="dxa"/>
            <w:tcBorders>
              <w:top w:val="nil"/>
              <w:left w:val="nil"/>
              <w:bottom w:val="single" w:sz="8" w:space="0" w:color="000000"/>
              <w:right w:val="nil"/>
            </w:tcBorders>
            <w:tcMar>
              <w:top w:w="20" w:type="dxa"/>
              <w:left w:w="20" w:type="dxa"/>
              <w:bottom w:w="100" w:type="dxa"/>
              <w:right w:w="20" w:type="dxa"/>
            </w:tcMar>
          </w:tcPr>
          <w:p w14:paraId="1BB6B007" w14:textId="77777777" w:rsidR="00340A38" w:rsidRDefault="00000000">
            <w:pPr>
              <w:spacing w:after="0" w:line="240" w:lineRule="auto"/>
              <w:jc w:val="center"/>
              <w:rPr>
                <w:sz w:val="18"/>
                <w:szCs w:val="18"/>
              </w:rPr>
            </w:pPr>
            <w:r>
              <w:rPr>
                <w:sz w:val="18"/>
                <w:szCs w:val="18"/>
              </w:rPr>
              <w:t>-0.0312</w:t>
            </w:r>
          </w:p>
        </w:tc>
        <w:tc>
          <w:tcPr>
            <w:tcW w:w="1095" w:type="dxa"/>
            <w:tcBorders>
              <w:top w:val="nil"/>
              <w:left w:val="nil"/>
              <w:bottom w:val="single" w:sz="8" w:space="0" w:color="000000"/>
              <w:right w:val="nil"/>
            </w:tcBorders>
            <w:tcMar>
              <w:top w:w="20" w:type="dxa"/>
              <w:left w:w="20" w:type="dxa"/>
              <w:bottom w:w="100" w:type="dxa"/>
              <w:right w:w="20" w:type="dxa"/>
            </w:tcMar>
          </w:tcPr>
          <w:p w14:paraId="4A8BB1D1" w14:textId="77777777" w:rsidR="00340A38" w:rsidRDefault="00000000">
            <w:pPr>
              <w:spacing w:after="0" w:line="240" w:lineRule="auto"/>
              <w:jc w:val="center"/>
              <w:rPr>
                <w:sz w:val="18"/>
                <w:szCs w:val="18"/>
              </w:rPr>
            </w:pPr>
            <w:r>
              <w:rPr>
                <w:sz w:val="18"/>
                <w:szCs w:val="18"/>
              </w:rPr>
              <w:t>-0.313</w:t>
            </w:r>
          </w:p>
        </w:tc>
        <w:tc>
          <w:tcPr>
            <w:tcW w:w="1035" w:type="dxa"/>
            <w:tcBorders>
              <w:top w:val="nil"/>
              <w:left w:val="nil"/>
              <w:bottom w:val="single" w:sz="8" w:space="0" w:color="000000"/>
              <w:right w:val="nil"/>
            </w:tcBorders>
            <w:tcMar>
              <w:top w:w="20" w:type="dxa"/>
              <w:left w:w="20" w:type="dxa"/>
              <w:bottom w:w="100" w:type="dxa"/>
              <w:right w:w="20" w:type="dxa"/>
            </w:tcMar>
          </w:tcPr>
          <w:p w14:paraId="6C3189E2" w14:textId="77777777" w:rsidR="00340A38" w:rsidRDefault="00000000">
            <w:pPr>
              <w:spacing w:after="0" w:line="240" w:lineRule="auto"/>
              <w:jc w:val="center"/>
              <w:rPr>
                <w:sz w:val="18"/>
                <w:szCs w:val="18"/>
              </w:rPr>
            </w:pPr>
            <w:r>
              <w:rPr>
                <w:sz w:val="18"/>
                <w:szCs w:val="18"/>
              </w:rPr>
              <w:t>-0.0902</w:t>
            </w:r>
          </w:p>
        </w:tc>
        <w:tc>
          <w:tcPr>
            <w:tcW w:w="1260" w:type="dxa"/>
            <w:tcBorders>
              <w:top w:val="nil"/>
              <w:left w:val="nil"/>
              <w:bottom w:val="single" w:sz="8" w:space="0" w:color="000000"/>
              <w:right w:val="nil"/>
            </w:tcBorders>
            <w:tcMar>
              <w:top w:w="20" w:type="dxa"/>
              <w:left w:w="20" w:type="dxa"/>
              <w:bottom w:w="100" w:type="dxa"/>
              <w:right w:w="20" w:type="dxa"/>
            </w:tcMar>
          </w:tcPr>
          <w:p w14:paraId="43839B5D" w14:textId="77777777" w:rsidR="00340A38" w:rsidRDefault="00000000">
            <w:pPr>
              <w:spacing w:after="0" w:line="240" w:lineRule="auto"/>
              <w:jc w:val="center"/>
              <w:rPr>
                <w:sz w:val="18"/>
                <w:szCs w:val="18"/>
              </w:rPr>
            </w:pPr>
            <w:r>
              <w:rPr>
                <w:sz w:val="18"/>
                <w:szCs w:val="18"/>
              </w:rPr>
              <w:t>-0.307</w:t>
            </w:r>
          </w:p>
        </w:tc>
        <w:tc>
          <w:tcPr>
            <w:tcW w:w="870" w:type="dxa"/>
            <w:tcBorders>
              <w:top w:val="nil"/>
              <w:left w:val="nil"/>
              <w:bottom w:val="single" w:sz="8" w:space="0" w:color="000000"/>
              <w:right w:val="nil"/>
            </w:tcBorders>
            <w:tcMar>
              <w:top w:w="20" w:type="dxa"/>
              <w:left w:w="20" w:type="dxa"/>
              <w:bottom w:w="100" w:type="dxa"/>
              <w:right w:w="20" w:type="dxa"/>
            </w:tcMar>
          </w:tcPr>
          <w:p w14:paraId="2AEC06CB" w14:textId="77777777" w:rsidR="00340A38" w:rsidRDefault="00000000">
            <w:pPr>
              <w:spacing w:after="0" w:line="240" w:lineRule="auto"/>
              <w:jc w:val="center"/>
              <w:rPr>
                <w:sz w:val="18"/>
                <w:szCs w:val="18"/>
              </w:rPr>
            </w:pPr>
            <w:r>
              <w:rPr>
                <w:sz w:val="18"/>
                <w:szCs w:val="18"/>
              </w:rPr>
              <w:t>-0.135</w:t>
            </w:r>
          </w:p>
        </w:tc>
        <w:tc>
          <w:tcPr>
            <w:tcW w:w="1200" w:type="dxa"/>
            <w:tcBorders>
              <w:top w:val="nil"/>
              <w:left w:val="nil"/>
              <w:bottom w:val="single" w:sz="8" w:space="0" w:color="000000"/>
              <w:right w:val="nil"/>
            </w:tcBorders>
            <w:tcMar>
              <w:top w:w="20" w:type="dxa"/>
              <w:left w:w="20" w:type="dxa"/>
              <w:bottom w:w="100" w:type="dxa"/>
              <w:right w:w="20" w:type="dxa"/>
            </w:tcMar>
          </w:tcPr>
          <w:p w14:paraId="3BCD6294" w14:textId="77777777" w:rsidR="00340A38" w:rsidRDefault="00000000">
            <w:pPr>
              <w:spacing w:after="0" w:line="240" w:lineRule="auto"/>
              <w:jc w:val="center"/>
              <w:rPr>
                <w:sz w:val="18"/>
                <w:szCs w:val="18"/>
              </w:rPr>
            </w:pPr>
            <w:r>
              <w:rPr>
                <w:sz w:val="18"/>
                <w:szCs w:val="18"/>
              </w:rPr>
              <w:t>-0.13</w:t>
            </w:r>
          </w:p>
        </w:tc>
        <w:tc>
          <w:tcPr>
            <w:tcW w:w="1440" w:type="dxa"/>
            <w:tcBorders>
              <w:top w:val="nil"/>
              <w:left w:val="nil"/>
              <w:bottom w:val="single" w:sz="8" w:space="0" w:color="000000"/>
              <w:right w:val="nil"/>
            </w:tcBorders>
            <w:tcMar>
              <w:top w:w="20" w:type="dxa"/>
              <w:left w:w="20" w:type="dxa"/>
              <w:bottom w:w="100" w:type="dxa"/>
              <w:right w:w="20" w:type="dxa"/>
            </w:tcMar>
          </w:tcPr>
          <w:p w14:paraId="514B9085" w14:textId="77777777" w:rsidR="00340A38" w:rsidRDefault="00000000">
            <w:pPr>
              <w:spacing w:after="0" w:line="240" w:lineRule="auto"/>
              <w:jc w:val="center"/>
              <w:rPr>
                <w:sz w:val="18"/>
                <w:szCs w:val="18"/>
              </w:rPr>
            </w:pPr>
            <w:r>
              <w:rPr>
                <w:sz w:val="18"/>
                <w:szCs w:val="18"/>
              </w:rPr>
              <w:t>-0.229</w:t>
            </w:r>
          </w:p>
        </w:tc>
      </w:tr>
      <w:tr w:rsidR="00340A38" w14:paraId="0CBE936C" w14:textId="77777777">
        <w:trPr>
          <w:trHeight w:val="315"/>
        </w:trPr>
        <w:tc>
          <w:tcPr>
            <w:tcW w:w="855" w:type="dxa"/>
            <w:tcBorders>
              <w:top w:val="nil"/>
              <w:left w:val="nil"/>
              <w:bottom w:val="nil"/>
              <w:right w:val="nil"/>
            </w:tcBorders>
            <w:tcMar>
              <w:top w:w="20" w:type="dxa"/>
              <w:left w:w="20" w:type="dxa"/>
              <w:bottom w:w="100" w:type="dxa"/>
              <w:right w:w="20" w:type="dxa"/>
            </w:tcMar>
          </w:tcPr>
          <w:p w14:paraId="63748F80" w14:textId="77777777" w:rsidR="00340A38" w:rsidRDefault="00000000">
            <w:pPr>
              <w:spacing w:after="0" w:line="240" w:lineRule="auto"/>
              <w:jc w:val="center"/>
              <w:rPr>
                <w:sz w:val="18"/>
                <w:szCs w:val="18"/>
              </w:rPr>
            </w:pPr>
            <w:r>
              <w:rPr>
                <w:sz w:val="18"/>
                <w:szCs w:val="18"/>
              </w:rPr>
              <w:t>N</w:t>
            </w:r>
          </w:p>
        </w:tc>
        <w:tc>
          <w:tcPr>
            <w:tcW w:w="1020" w:type="dxa"/>
            <w:tcBorders>
              <w:top w:val="nil"/>
              <w:left w:val="nil"/>
              <w:bottom w:val="nil"/>
              <w:right w:val="nil"/>
            </w:tcBorders>
            <w:tcMar>
              <w:top w:w="20" w:type="dxa"/>
              <w:left w:w="20" w:type="dxa"/>
              <w:bottom w:w="100" w:type="dxa"/>
              <w:right w:w="20" w:type="dxa"/>
            </w:tcMar>
          </w:tcPr>
          <w:p w14:paraId="09B20D66" w14:textId="77777777" w:rsidR="00340A38" w:rsidRDefault="00000000">
            <w:pPr>
              <w:spacing w:after="0" w:line="240" w:lineRule="auto"/>
              <w:jc w:val="center"/>
              <w:rPr>
                <w:sz w:val="18"/>
                <w:szCs w:val="18"/>
              </w:rPr>
            </w:pPr>
            <w:r>
              <w:rPr>
                <w:sz w:val="18"/>
                <w:szCs w:val="18"/>
              </w:rPr>
              <w:t>131</w:t>
            </w:r>
          </w:p>
        </w:tc>
        <w:tc>
          <w:tcPr>
            <w:tcW w:w="1260" w:type="dxa"/>
            <w:tcBorders>
              <w:top w:val="nil"/>
              <w:left w:val="nil"/>
              <w:bottom w:val="nil"/>
              <w:right w:val="nil"/>
            </w:tcBorders>
            <w:tcMar>
              <w:top w:w="20" w:type="dxa"/>
              <w:left w:w="20" w:type="dxa"/>
              <w:bottom w:w="100" w:type="dxa"/>
              <w:right w:w="20" w:type="dxa"/>
            </w:tcMar>
          </w:tcPr>
          <w:p w14:paraId="0EB8CB1D" w14:textId="77777777" w:rsidR="00340A38" w:rsidRDefault="00000000">
            <w:pPr>
              <w:spacing w:after="0" w:line="240" w:lineRule="auto"/>
              <w:jc w:val="center"/>
              <w:rPr>
                <w:sz w:val="18"/>
                <w:szCs w:val="18"/>
              </w:rPr>
            </w:pPr>
            <w:r>
              <w:rPr>
                <w:sz w:val="18"/>
                <w:szCs w:val="18"/>
              </w:rPr>
              <w:t>4,959</w:t>
            </w:r>
          </w:p>
        </w:tc>
        <w:tc>
          <w:tcPr>
            <w:tcW w:w="1095" w:type="dxa"/>
            <w:tcBorders>
              <w:top w:val="nil"/>
              <w:left w:val="nil"/>
              <w:bottom w:val="nil"/>
              <w:right w:val="nil"/>
            </w:tcBorders>
            <w:tcMar>
              <w:top w:w="20" w:type="dxa"/>
              <w:left w:w="20" w:type="dxa"/>
              <w:bottom w:w="100" w:type="dxa"/>
              <w:right w:w="20" w:type="dxa"/>
            </w:tcMar>
          </w:tcPr>
          <w:p w14:paraId="6254CED5" w14:textId="77777777" w:rsidR="00340A38" w:rsidRDefault="00000000">
            <w:pPr>
              <w:spacing w:after="0" w:line="240" w:lineRule="auto"/>
              <w:jc w:val="center"/>
              <w:rPr>
                <w:sz w:val="18"/>
                <w:szCs w:val="18"/>
              </w:rPr>
            </w:pPr>
            <w:r>
              <w:rPr>
                <w:sz w:val="18"/>
                <w:szCs w:val="18"/>
              </w:rPr>
              <w:t>180</w:t>
            </w:r>
          </w:p>
        </w:tc>
        <w:tc>
          <w:tcPr>
            <w:tcW w:w="1035" w:type="dxa"/>
            <w:tcBorders>
              <w:top w:val="nil"/>
              <w:left w:val="nil"/>
              <w:bottom w:val="nil"/>
              <w:right w:val="nil"/>
            </w:tcBorders>
            <w:tcMar>
              <w:top w:w="20" w:type="dxa"/>
              <w:left w:w="20" w:type="dxa"/>
              <w:bottom w:w="100" w:type="dxa"/>
              <w:right w:w="20" w:type="dxa"/>
            </w:tcMar>
          </w:tcPr>
          <w:p w14:paraId="6A8F9D2A" w14:textId="77777777" w:rsidR="00340A38" w:rsidRDefault="00000000">
            <w:pPr>
              <w:spacing w:after="0" w:line="240" w:lineRule="auto"/>
              <w:jc w:val="center"/>
              <w:rPr>
                <w:sz w:val="18"/>
                <w:szCs w:val="18"/>
              </w:rPr>
            </w:pPr>
            <w:r>
              <w:rPr>
                <w:sz w:val="18"/>
                <w:szCs w:val="18"/>
              </w:rPr>
              <w:t>336</w:t>
            </w:r>
          </w:p>
        </w:tc>
        <w:tc>
          <w:tcPr>
            <w:tcW w:w="1260" w:type="dxa"/>
            <w:tcBorders>
              <w:top w:val="nil"/>
              <w:left w:val="nil"/>
              <w:bottom w:val="nil"/>
              <w:right w:val="nil"/>
            </w:tcBorders>
            <w:tcMar>
              <w:top w:w="20" w:type="dxa"/>
              <w:left w:w="20" w:type="dxa"/>
              <w:bottom w:w="100" w:type="dxa"/>
              <w:right w:w="20" w:type="dxa"/>
            </w:tcMar>
          </w:tcPr>
          <w:p w14:paraId="228D41A8" w14:textId="77777777" w:rsidR="00340A38" w:rsidRDefault="00000000">
            <w:pPr>
              <w:spacing w:after="0" w:line="240" w:lineRule="auto"/>
              <w:jc w:val="center"/>
              <w:rPr>
                <w:sz w:val="18"/>
                <w:szCs w:val="18"/>
              </w:rPr>
            </w:pPr>
            <w:r>
              <w:rPr>
                <w:sz w:val="18"/>
                <w:szCs w:val="18"/>
              </w:rPr>
              <w:t>168</w:t>
            </w:r>
          </w:p>
        </w:tc>
        <w:tc>
          <w:tcPr>
            <w:tcW w:w="870" w:type="dxa"/>
            <w:tcBorders>
              <w:top w:val="nil"/>
              <w:left w:val="nil"/>
              <w:bottom w:val="nil"/>
              <w:right w:val="nil"/>
            </w:tcBorders>
            <w:tcMar>
              <w:top w:w="20" w:type="dxa"/>
              <w:left w:w="20" w:type="dxa"/>
              <w:bottom w:w="100" w:type="dxa"/>
              <w:right w:w="20" w:type="dxa"/>
            </w:tcMar>
          </w:tcPr>
          <w:p w14:paraId="201C8501" w14:textId="77777777" w:rsidR="00340A38" w:rsidRDefault="00000000">
            <w:pPr>
              <w:spacing w:after="0" w:line="240" w:lineRule="auto"/>
              <w:jc w:val="center"/>
              <w:rPr>
                <w:sz w:val="18"/>
                <w:szCs w:val="18"/>
              </w:rPr>
            </w:pPr>
            <w:r>
              <w:rPr>
                <w:sz w:val="18"/>
                <w:szCs w:val="18"/>
              </w:rPr>
              <w:t>576</w:t>
            </w:r>
          </w:p>
        </w:tc>
        <w:tc>
          <w:tcPr>
            <w:tcW w:w="1200" w:type="dxa"/>
            <w:tcBorders>
              <w:top w:val="nil"/>
              <w:left w:val="nil"/>
              <w:bottom w:val="nil"/>
              <w:right w:val="nil"/>
            </w:tcBorders>
            <w:tcMar>
              <w:top w:w="20" w:type="dxa"/>
              <w:left w:w="20" w:type="dxa"/>
              <w:bottom w:w="100" w:type="dxa"/>
              <w:right w:w="20" w:type="dxa"/>
            </w:tcMar>
          </w:tcPr>
          <w:p w14:paraId="012728F8" w14:textId="77777777" w:rsidR="00340A38" w:rsidRDefault="00000000">
            <w:pPr>
              <w:spacing w:after="0" w:line="240" w:lineRule="auto"/>
              <w:jc w:val="center"/>
              <w:rPr>
                <w:sz w:val="18"/>
                <w:szCs w:val="18"/>
              </w:rPr>
            </w:pPr>
            <w:r>
              <w:rPr>
                <w:sz w:val="18"/>
                <w:szCs w:val="18"/>
              </w:rPr>
              <w:t>347</w:t>
            </w:r>
          </w:p>
        </w:tc>
        <w:tc>
          <w:tcPr>
            <w:tcW w:w="1440" w:type="dxa"/>
            <w:tcBorders>
              <w:top w:val="nil"/>
              <w:left w:val="nil"/>
              <w:bottom w:val="nil"/>
              <w:right w:val="nil"/>
            </w:tcBorders>
            <w:tcMar>
              <w:top w:w="20" w:type="dxa"/>
              <w:left w:w="20" w:type="dxa"/>
              <w:bottom w:w="100" w:type="dxa"/>
              <w:right w:w="20" w:type="dxa"/>
            </w:tcMar>
          </w:tcPr>
          <w:p w14:paraId="565B6F02" w14:textId="77777777" w:rsidR="00340A38" w:rsidRDefault="00000000">
            <w:pPr>
              <w:spacing w:after="0" w:line="240" w:lineRule="auto"/>
              <w:jc w:val="center"/>
              <w:rPr>
                <w:sz w:val="18"/>
                <w:szCs w:val="18"/>
              </w:rPr>
            </w:pPr>
            <w:r>
              <w:rPr>
                <w:sz w:val="18"/>
                <w:szCs w:val="18"/>
              </w:rPr>
              <w:t>120</w:t>
            </w:r>
          </w:p>
        </w:tc>
      </w:tr>
      <w:tr w:rsidR="00340A38" w14:paraId="7BCFF22A" w14:textId="77777777">
        <w:trPr>
          <w:trHeight w:val="315"/>
        </w:trPr>
        <w:tc>
          <w:tcPr>
            <w:tcW w:w="855" w:type="dxa"/>
            <w:tcBorders>
              <w:top w:val="nil"/>
              <w:left w:val="nil"/>
              <w:bottom w:val="single" w:sz="6" w:space="0" w:color="000000"/>
              <w:right w:val="nil"/>
            </w:tcBorders>
            <w:tcMar>
              <w:top w:w="20" w:type="dxa"/>
              <w:left w:w="20" w:type="dxa"/>
              <w:bottom w:w="100" w:type="dxa"/>
              <w:right w:w="20" w:type="dxa"/>
            </w:tcMar>
          </w:tcPr>
          <w:p w14:paraId="062A4033" w14:textId="77777777" w:rsidR="00340A38" w:rsidRDefault="00000000">
            <w:pPr>
              <w:spacing w:after="0" w:line="240" w:lineRule="auto"/>
              <w:jc w:val="center"/>
              <w:rPr>
                <w:sz w:val="18"/>
                <w:szCs w:val="18"/>
              </w:rPr>
            </w:pPr>
            <w:r>
              <w:rPr>
                <w:sz w:val="18"/>
                <w:szCs w:val="18"/>
              </w:rPr>
              <w:t>R-squared</w:t>
            </w:r>
          </w:p>
        </w:tc>
        <w:tc>
          <w:tcPr>
            <w:tcW w:w="1020" w:type="dxa"/>
            <w:tcBorders>
              <w:top w:val="nil"/>
              <w:left w:val="nil"/>
              <w:bottom w:val="single" w:sz="6" w:space="0" w:color="000000"/>
              <w:right w:val="nil"/>
            </w:tcBorders>
            <w:tcMar>
              <w:top w:w="20" w:type="dxa"/>
              <w:left w:w="20" w:type="dxa"/>
              <w:bottom w:w="100" w:type="dxa"/>
              <w:right w:w="20" w:type="dxa"/>
            </w:tcMar>
          </w:tcPr>
          <w:p w14:paraId="1DED8D37" w14:textId="77777777" w:rsidR="00340A38" w:rsidRDefault="00000000">
            <w:pPr>
              <w:spacing w:after="0" w:line="240" w:lineRule="auto"/>
              <w:jc w:val="center"/>
              <w:rPr>
                <w:sz w:val="18"/>
                <w:szCs w:val="18"/>
              </w:rPr>
            </w:pPr>
            <w:r>
              <w:rPr>
                <w:sz w:val="18"/>
                <w:szCs w:val="18"/>
              </w:rPr>
              <w:t>0.505</w:t>
            </w:r>
          </w:p>
        </w:tc>
        <w:tc>
          <w:tcPr>
            <w:tcW w:w="1260" w:type="dxa"/>
            <w:tcBorders>
              <w:top w:val="nil"/>
              <w:left w:val="nil"/>
              <w:bottom w:val="single" w:sz="6" w:space="0" w:color="000000"/>
              <w:right w:val="nil"/>
            </w:tcBorders>
            <w:tcMar>
              <w:top w:w="20" w:type="dxa"/>
              <w:left w:w="20" w:type="dxa"/>
              <w:bottom w:w="100" w:type="dxa"/>
              <w:right w:w="20" w:type="dxa"/>
            </w:tcMar>
          </w:tcPr>
          <w:p w14:paraId="3D4F42A9" w14:textId="77777777" w:rsidR="00340A38" w:rsidRDefault="00000000">
            <w:pPr>
              <w:spacing w:after="0" w:line="240" w:lineRule="auto"/>
              <w:jc w:val="center"/>
              <w:rPr>
                <w:sz w:val="18"/>
                <w:szCs w:val="18"/>
              </w:rPr>
            </w:pPr>
            <w:r>
              <w:rPr>
                <w:sz w:val="18"/>
                <w:szCs w:val="18"/>
              </w:rPr>
              <w:t>0.852</w:t>
            </w:r>
          </w:p>
        </w:tc>
        <w:tc>
          <w:tcPr>
            <w:tcW w:w="1095" w:type="dxa"/>
            <w:tcBorders>
              <w:top w:val="nil"/>
              <w:left w:val="nil"/>
              <w:bottom w:val="single" w:sz="6" w:space="0" w:color="000000"/>
              <w:right w:val="nil"/>
            </w:tcBorders>
            <w:tcMar>
              <w:top w:w="20" w:type="dxa"/>
              <w:left w:w="20" w:type="dxa"/>
              <w:bottom w:w="100" w:type="dxa"/>
              <w:right w:w="20" w:type="dxa"/>
            </w:tcMar>
          </w:tcPr>
          <w:p w14:paraId="24BD1268" w14:textId="77777777" w:rsidR="00340A38" w:rsidRDefault="00000000">
            <w:pPr>
              <w:spacing w:after="0" w:line="240" w:lineRule="auto"/>
              <w:jc w:val="center"/>
              <w:rPr>
                <w:sz w:val="18"/>
                <w:szCs w:val="18"/>
              </w:rPr>
            </w:pPr>
            <w:r>
              <w:rPr>
                <w:sz w:val="18"/>
                <w:szCs w:val="18"/>
              </w:rPr>
              <w:t>0.826</w:t>
            </w:r>
          </w:p>
        </w:tc>
        <w:tc>
          <w:tcPr>
            <w:tcW w:w="1035" w:type="dxa"/>
            <w:tcBorders>
              <w:top w:val="nil"/>
              <w:left w:val="nil"/>
              <w:bottom w:val="single" w:sz="6" w:space="0" w:color="000000"/>
              <w:right w:val="nil"/>
            </w:tcBorders>
            <w:tcMar>
              <w:top w:w="20" w:type="dxa"/>
              <w:left w:w="20" w:type="dxa"/>
              <w:bottom w:w="100" w:type="dxa"/>
              <w:right w:w="20" w:type="dxa"/>
            </w:tcMar>
          </w:tcPr>
          <w:p w14:paraId="0477DE6D" w14:textId="77777777" w:rsidR="00340A38" w:rsidRDefault="00000000">
            <w:pPr>
              <w:spacing w:after="0" w:line="240" w:lineRule="auto"/>
              <w:jc w:val="center"/>
              <w:rPr>
                <w:sz w:val="18"/>
                <w:szCs w:val="18"/>
              </w:rPr>
            </w:pPr>
            <w:r>
              <w:rPr>
                <w:sz w:val="18"/>
                <w:szCs w:val="18"/>
              </w:rPr>
              <w:t>0.938</w:t>
            </w:r>
          </w:p>
        </w:tc>
        <w:tc>
          <w:tcPr>
            <w:tcW w:w="1260" w:type="dxa"/>
            <w:tcBorders>
              <w:top w:val="nil"/>
              <w:left w:val="nil"/>
              <w:bottom w:val="single" w:sz="6" w:space="0" w:color="000000"/>
              <w:right w:val="nil"/>
            </w:tcBorders>
            <w:tcMar>
              <w:top w:w="20" w:type="dxa"/>
              <w:left w:w="20" w:type="dxa"/>
              <w:bottom w:w="100" w:type="dxa"/>
              <w:right w:w="20" w:type="dxa"/>
            </w:tcMar>
          </w:tcPr>
          <w:p w14:paraId="059CA962" w14:textId="77777777" w:rsidR="00340A38" w:rsidRDefault="00000000">
            <w:pPr>
              <w:spacing w:after="0" w:line="240" w:lineRule="auto"/>
              <w:jc w:val="center"/>
              <w:rPr>
                <w:sz w:val="18"/>
                <w:szCs w:val="18"/>
              </w:rPr>
            </w:pPr>
            <w:r>
              <w:rPr>
                <w:sz w:val="18"/>
                <w:szCs w:val="18"/>
              </w:rPr>
              <w:t>0.757</w:t>
            </w:r>
          </w:p>
        </w:tc>
        <w:tc>
          <w:tcPr>
            <w:tcW w:w="870" w:type="dxa"/>
            <w:tcBorders>
              <w:top w:val="nil"/>
              <w:left w:val="nil"/>
              <w:bottom w:val="single" w:sz="6" w:space="0" w:color="000000"/>
              <w:right w:val="nil"/>
            </w:tcBorders>
            <w:tcMar>
              <w:top w:w="20" w:type="dxa"/>
              <w:left w:w="20" w:type="dxa"/>
              <w:bottom w:w="100" w:type="dxa"/>
              <w:right w:w="20" w:type="dxa"/>
            </w:tcMar>
          </w:tcPr>
          <w:p w14:paraId="661AC767" w14:textId="77777777" w:rsidR="00340A38" w:rsidRDefault="00000000">
            <w:pPr>
              <w:spacing w:after="0" w:line="240" w:lineRule="auto"/>
              <w:jc w:val="center"/>
              <w:rPr>
                <w:sz w:val="18"/>
                <w:szCs w:val="18"/>
              </w:rPr>
            </w:pPr>
            <w:r>
              <w:rPr>
                <w:sz w:val="18"/>
                <w:szCs w:val="18"/>
              </w:rPr>
              <w:t>0.917</w:t>
            </w:r>
          </w:p>
        </w:tc>
        <w:tc>
          <w:tcPr>
            <w:tcW w:w="1200" w:type="dxa"/>
            <w:tcBorders>
              <w:top w:val="nil"/>
              <w:left w:val="nil"/>
              <w:bottom w:val="single" w:sz="6" w:space="0" w:color="000000"/>
              <w:right w:val="nil"/>
            </w:tcBorders>
            <w:tcMar>
              <w:top w:w="20" w:type="dxa"/>
              <w:left w:w="20" w:type="dxa"/>
              <w:bottom w:w="100" w:type="dxa"/>
              <w:right w:w="20" w:type="dxa"/>
            </w:tcMar>
          </w:tcPr>
          <w:p w14:paraId="2C609A1A" w14:textId="77777777" w:rsidR="00340A38" w:rsidRDefault="00000000">
            <w:pPr>
              <w:spacing w:after="0" w:line="240" w:lineRule="auto"/>
              <w:jc w:val="center"/>
              <w:rPr>
                <w:sz w:val="18"/>
                <w:szCs w:val="18"/>
              </w:rPr>
            </w:pPr>
            <w:r>
              <w:rPr>
                <w:sz w:val="18"/>
                <w:szCs w:val="18"/>
              </w:rPr>
              <w:t>0.737</w:t>
            </w:r>
          </w:p>
        </w:tc>
        <w:tc>
          <w:tcPr>
            <w:tcW w:w="1440" w:type="dxa"/>
            <w:tcBorders>
              <w:top w:val="nil"/>
              <w:left w:val="nil"/>
              <w:bottom w:val="single" w:sz="6" w:space="0" w:color="000000"/>
              <w:right w:val="nil"/>
            </w:tcBorders>
            <w:tcMar>
              <w:top w:w="20" w:type="dxa"/>
              <w:left w:w="20" w:type="dxa"/>
              <w:bottom w:w="100" w:type="dxa"/>
              <w:right w:w="20" w:type="dxa"/>
            </w:tcMar>
          </w:tcPr>
          <w:p w14:paraId="1104AF90" w14:textId="77777777" w:rsidR="00340A38" w:rsidRDefault="00000000">
            <w:pPr>
              <w:spacing w:after="0" w:line="240" w:lineRule="auto"/>
              <w:jc w:val="center"/>
              <w:rPr>
                <w:sz w:val="18"/>
                <w:szCs w:val="18"/>
              </w:rPr>
            </w:pPr>
            <w:r>
              <w:rPr>
                <w:sz w:val="18"/>
                <w:szCs w:val="18"/>
              </w:rPr>
              <w:t>0.954</w:t>
            </w:r>
          </w:p>
        </w:tc>
      </w:tr>
    </w:tbl>
    <w:p w14:paraId="738A20B4" w14:textId="77777777" w:rsidR="00340A38" w:rsidRDefault="00000000">
      <w:pPr>
        <w:spacing w:after="0"/>
        <w:rPr>
          <w:sz w:val="18"/>
          <w:szCs w:val="18"/>
        </w:rPr>
      </w:pPr>
      <w:r>
        <w:rPr>
          <w:sz w:val="18"/>
          <w:szCs w:val="18"/>
        </w:rPr>
        <w:t>t statistics in parentheses</w:t>
      </w:r>
    </w:p>
    <w:p w14:paraId="1515855E" w14:textId="77777777" w:rsidR="00340A38" w:rsidRDefault="00000000">
      <w:pPr>
        <w:spacing w:after="0"/>
      </w:pPr>
      <w:r>
        <w:rPr>
          <w:sz w:val="18"/>
          <w:szCs w:val="18"/>
          <w:vertAlign w:val="superscript"/>
        </w:rPr>
        <w:t>*</w:t>
      </w:r>
      <w:r>
        <w:rPr>
          <w:sz w:val="18"/>
          <w:szCs w:val="18"/>
        </w:rPr>
        <w:t xml:space="preserve"> p &lt; .1, </w:t>
      </w:r>
      <w:r>
        <w:rPr>
          <w:sz w:val="18"/>
          <w:szCs w:val="18"/>
          <w:vertAlign w:val="superscript"/>
        </w:rPr>
        <w:t>**</w:t>
      </w:r>
      <w:r>
        <w:rPr>
          <w:sz w:val="18"/>
          <w:szCs w:val="18"/>
        </w:rPr>
        <w:t xml:space="preserve"> p &lt; .05, </w:t>
      </w:r>
      <w:r>
        <w:rPr>
          <w:sz w:val="18"/>
          <w:szCs w:val="18"/>
          <w:vertAlign w:val="superscript"/>
        </w:rPr>
        <w:t>***</w:t>
      </w:r>
      <w:r>
        <w:rPr>
          <w:sz w:val="18"/>
          <w:szCs w:val="18"/>
        </w:rPr>
        <w:t xml:space="preserve"> p &lt; .01</w:t>
      </w:r>
    </w:p>
    <w:p w14:paraId="75AA10E1" w14:textId="77777777" w:rsidR="00340A38" w:rsidRDefault="00340A38"/>
    <w:p w14:paraId="18568E9D" w14:textId="77777777" w:rsidR="00340A38" w:rsidRDefault="00000000">
      <w:pPr>
        <w:pStyle w:val="Heading2"/>
      </w:pPr>
      <w:bookmarkStart w:id="30" w:name="_xlbpy9qbi5c5" w:colFirst="0" w:colLast="0"/>
      <w:bookmarkEnd w:id="30"/>
      <w:r>
        <w:t>5.3 Comparisons in Different Ownership Structures</w:t>
      </w:r>
    </w:p>
    <w:p w14:paraId="4BA9CEB6" w14:textId="77777777" w:rsidR="00340A38" w:rsidRDefault="00000000">
      <w:pPr>
        <w:spacing w:line="480" w:lineRule="auto"/>
        <w:jc w:val="both"/>
      </w:pPr>
      <w:r>
        <w:t xml:space="preserve">In this section, we will focus on whether the influence of the CEO, the BOD, and the Institutional Investors on capital structure differs among different ownership structures. To this end, our sample is split into SOEs and non-SOEs. A firm is identified as an SOE if it is ultimately controlled by </w:t>
      </w:r>
      <w:r>
        <w:lastRenderedPageBreak/>
        <w:t xml:space="preserve">the government and other governmental institutions. The rest of A-list companies would be classified as </w:t>
      </w:r>
      <w:proofErr w:type="gramStart"/>
      <w:r>
        <w:t>Non-SOEs</w:t>
      </w:r>
      <w:proofErr w:type="gramEnd"/>
      <w:r>
        <w:t>. The results have been summarized in Panel A of Table 7.</w:t>
      </w:r>
    </w:p>
    <w:p w14:paraId="4C6C065D" w14:textId="77777777" w:rsidR="00340A38" w:rsidRDefault="00000000">
      <w:pPr>
        <w:spacing w:line="480" w:lineRule="auto"/>
        <w:jc w:val="both"/>
      </w:pPr>
      <w:r>
        <w:t xml:space="preserve">As we can see from our means test, SOEs exhibit a higher leverage ratio, relative to non-SOEs, which we have already observed in our previous regression results. We then perform the multivariate regression based on OLS and FE estimation using samples of SOEs and non-SOEs respectively. The influence of the CEOs in non-SOEs is much stronger than that in SOEs, consistent with Firth et al. (2006) and </w:t>
      </w:r>
      <w:proofErr w:type="spellStart"/>
      <w:r>
        <w:t>Ruan</w:t>
      </w:r>
      <w:proofErr w:type="spellEnd"/>
      <w:r>
        <w:t xml:space="preserve"> et al. (2011) that the CEO power in non-SOEs on average is higher. It can also be explained by the fact that CEOs in SOEs are faced with weaker performance threats (Kato and Long, 2006). </w:t>
      </w:r>
    </w:p>
    <w:p w14:paraId="673D0D5A" w14:textId="77777777" w:rsidR="00340A38" w:rsidRDefault="00000000">
      <w:pPr>
        <w:spacing w:line="480" w:lineRule="auto"/>
        <w:jc w:val="both"/>
      </w:pPr>
      <w:r>
        <w:t xml:space="preserve">The coefficient of institutional investors varies a lot between non-SOEs and SOEs, which is positive in non-SOEs and negative in SOEs. This reveals that the standpoint of intuitional investors differs in different firm structures. Compared with non-SOEs, intuitional investors in SOEs pay more attention to long-term goals and policy orientation. Thus, their investment objectives may extend beyond merely seeking financial returns, focusing instead on long-term social and economic goals such as fostering the development of strategic national industries, supporting employment, or achieving regionally balanced development (Bo and Wu, 2009; Brandt and Li, 2003; </w:t>
      </w:r>
      <w:proofErr w:type="spellStart"/>
      <w:r>
        <w:t>Aharony</w:t>
      </w:r>
      <w:proofErr w:type="spellEnd"/>
      <w:r>
        <w:t xml:space="preserve"> et al, 2000).</w:t>
      </w:r>
    </w:p>
    <w:p w14:paraId="2C36214B" w14:textId="77777777" w:rsidR="00340A38" w:rsidRDefault="00000000">
      <w:pPr>
        <w:spacing w:line="480" w:lineRule="auto"/>
        <w:jc w:val="both"/>
      </w:pPr>
      <w:r>
        <w:t xml:space="preserve">Another point worth mentioning is that the influence of BODs on capital structure in SOEs is statistically significant. This indicates that BODs of SOEs may have more power, compared with those in non-SOEs. This is relevant to the special political focus of SOEs, as the board members of SOEs are mainly government officials or government-appointed representatives to ensure that the company's decisions align with the national economic and social objectives. Prior studies found </w:t>
      </w:r>
      <w:r>
        <w:lastRenderedPageBreak/>
        <w:t>that when the controller is of a state-owned nature or the local government, the governance effect of the non-actual controllers, BODs, becomes more significant (Lu et al, 2019). Besides, the party organization has also integrated into BODs to participate in corporate governance in SOEs (Liu et al, 2020).</w:t>
      </w:r>
    </w:p>
    <w:p w14:paraId="33A80DCB" w14:textId="77777777" w:rsidR="00340A38" w:rsidRDefault="00000000">
      <w:pPr>
        <w:rPr>
          <w:b/>
          <w:sz w:val="18"/>
          <w:szCs w:val="18"/>
        </w:rPr>
      </w:pPr>
      <w:r>
        <w:rPr>
          <w:b/>
          <w:sz w:val="18"/>
          <w:szCs w:val="18"/>
        </w:rPr>
        <w:t>Table 7</w:t>
      </w:r>
    </w:p>
    <w:p w14:paraId="5125EC87" w14:textId="77777777" w:rsidR="00340A38" w:rsidRPr="00520A60" w:rsidRDefault="00000000" w:rsidP="00520A60">
      <w:pPr>
        <w:spacing w:after="0"/>
        <w:rPr>
          <w:b/>
          <w:sz w:val="18"/>
          <w:szCs w:val="18"/>
        </w:rPr>
      </w:pPr>
      <w:r w:rsidRPr="00520A60">
        <w:rPr>
          <w:b/>
          <w:sz w:val="18"/>
          <w:szCs w:val="18"/>
        </w:rPr>
        <w:t xml:space="preserve">Panel A: Means Test </w:t>
      </w:r>
    </w:p>
    <w:tbl>
      <w:tblPr>
        <w:tblStyle w:val="ac"/>
        <w:tblW w:w="9225"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1395"/>
        <w:gridCol w:w="915"/>
        <w:gridCol w:w="825"/>
        <w:gridCol w:w="945"/>
        <w:gridCol w:w="915"/>
        <w:gridCol w:w="900"/>
        <w:gridCol w:w="825"/>
        <w:gridCol w:w="1410"/>
        <w:gridCol w:w="1095"/>
      </w:tblGrid>
      <w:tr w:rsidR="00340A38" w14:paraId="5C2DD16B" w14:textId="77777777">
        <w:trPr>
          <w:trHeight w:val="251"/>
        </w:trPr>
        <w:tc>
          <w:tcPr>
            <w:tcW w:w="1395" w:type="dxa"/>
            <w:tcBorders>
              <w:top w:val="single" w:sz="4" w:space="0" w:color="000000"/>
              <w:left w:val="nil"/>
              <w:bottom w:val="single" w:sz="4" w:space="0" w:color="000000"/>
              <w:right w:val="nil"/>
            </w:tcBorders>
            <w:tcMar>
              <w:top w:w="20" w:type="dxa"/>
              <w:left w:w="20" w:type="dxa"/>
              <w:bottom w:w="100" w:type="dxa"/>
              <w:right w:w="20" w:type="dxa"/>
            </w:tcMar>
            <w:vAlign w:val="center"/>
          </w:tcPr>
          <w:p w14:paraId="36EFD155" w14:textId="77777777" w:rsidR="00340A38" w:rsidRDefault="00340A38">
            <w:pPr>
              <w:spacing w:after="0" w:line="240" w:lineRule="auto"/>
              <w:rPr>
                <w:sz w:val="18"/>
                <w:szCs w:val="18"/>
              </w:rPr>
            </w:pPr>
          </w:p>
        </w:tc>
        <w:tc>
          <w:tcPr>
            <w:tcW w:w="2685" w:type="dxa"/>
            <w:gridSpan w:val="3"/>
            <w:tcBorders>
              <w:top w:val="single" w:sz="3" w:space="0" w:color="000000"/>
              <w:left w:val="nil"/>
              <w:bottom w:val="single" w:sz="4" w:space="0" w:color="000000"/>
              <w:right w:val="nil"/>
            </w:tcBorders>
            <w:tcMar>
              <w:top w:w="20" w:type="dxa"/>
              <w:left w:w="20" w:type="dxa"/>
              <w:bottom w:w="100" w:type="dxa"/>
              <w:right w:w="20" w:type="dxa"/>
            </w:tcMar>
            <w:vAlign w:val="center"/>
          </w:tcPr>
          <w:p w14:paraId="293E7F00" w14:textId="77777777" w:rsidR="00340A38" w:rsidRDefault="00000000">
            <w:pPr>
              <w:spacing w:after="0" w:line="240" w:lineRule="auto"/>
              <w:jc w:val="center"/>
              <w:rPr>
                <w:sz w:val="18"/>
                <w:szCs w:val="18"/>
              </w:rPr>
            </w:pPr>
            <w:r>
              <w:rPr>
                <w:sz w:val="18"/>
                <w:szCs w:val="18"/>
              </w:rPr>
              <w:t>Non SOEs</w:t>
            </w:r>
          </w:p>
        </w:tc>
        <w:tc>
          <w:tcPr>
            <w:tcW w:w="2640" w:type="dxa"/>
            <w:gridSpan w:val="3"/>
            <w:tcBorders>
              <w:top w:val="single" w:sz="3" w:space="0" w:color="000000"/>
              <w:left w:val="nil"/>
              <w:bottom w:val="single" w:sz="4" w:space="0" w:color="000000"/>
              <w:right w:val="nil"/>
            </w:tcBorders>
            <w:shd w:val="clear" w:color="auto" w:fill="auto"/>
            <w:tcMar>
              <w:top w:w="20" w:type="dxa"/>
              <w:left w:w="20" w:type="dxa"/>
              <w:bottom w:w="100" w:type="dxa"/>
              <w:right w:w="20" w:type="dxa"/>
            </w:tcMar>
            <w:vAlign w:val="center"/>
          </w:tcPr>
          <w:p w14:paraId="5D9AE3A9" w14:textId="77777777" w:rsidR="00340A38" w:rsidRDefault="00000000">
            <w:pPr>
              <w:spacing w:after="0" w:line="240" w:lineRule="auto"/>
              <w:jc w:val="center"/>
              <w:rPr>
                <w:sz w:val="18"/>
                <w:szCs w:val="18"/>
              </w:rPr>
            </w:pPr>
            <w:r>
              <w:rPr>
                <w:sz w:val="18"/>
                <w:szCs w:val="18"/>
              </w:rPr>
              <w:t>SOEs</w:t>
            </w:r>
          </w:p>
        </w:tc>
        <w:tc>
          <w:tcPr>
            <w:tcW w:w="2505" w:type="dxa"/>
            <w:gridSpan w:val="2"/>
            <w:tcBorders>
              <w:top w:val="single" w:sz="4" w:space="0" w:color="000000"/>
              <w:left w:val="nil"/>
              <w:bottom w:val="single" w:sz="4" w:space="0" w:color="000000"/>
              <w:right w:val="nil"/>
            </w:tcBorders>
            <w:shd w:val="clear" w:color="auto" w:fill="auto"/>
            <w:tcMar>
              <w:top w:w="20" w:type="dxa"/>
              <w:left w:w="20" w:type="dxa"/>
              <w:bottom w:w="100" w:type="dxa"/>
              <w:right w:w="20" w:type="dxa"/>
            </w:tcMar>
            <w:vAlign w:val="center"/>
          </w:tcPr>
          <w:p w14:paraId="1A1CC13C" w14:textId="77777777" w:rsidR="00340A38" w:rsidRDefault="00000000">
            <w:pPr>
              <w:spacing w:after="0" w:line="240" w:lineRule="auto"/>
              <w:jc w:val="center"/>
              <w:rPr>
                <w:sz w:val="18"/>
                <w:szCs w:val="18"/>
              </w:rPr>
            </w:pPr>
            <w:r>
              <w:rPr>
                <w:sz w:val="18"/>
                <w:szCs w:val="18"/>
              </w:rPr>
              <w:t>Means Test</w:t>
            </w:r>
          </w:p>
        </w:tc>
      </w:tr>
      <w:tr w:rsidR="00340A38" w14:paraId="1835F1CF" w14:textId="77777777">
        <w:tc>
          <w:tcPr>
            <w:tcW w:w="1395" w:type="dxa"/>
            <w:tcBorders>
              <w:top w:val="single" w:sz="4" w:space="0" w:color="000000"/>
              <w:left w:val="nil"/>
              <w:bottom w:val="single" w:sz="3" w:space="0" w:color="000000"/>
              <w:right w:val="nil"/>
            </w:tcBorders>
            <w:shd w:val="clear" w:color="auto" w:fill="auto"/>
            <w:tcMar>
              <w:top w:w="20" w:type="dxa"/>
              <w:left w:w="20" w:type="dxa"/>
              <w:bottom w:w="100" w:type="dxa"/>
              <w:right w:w="20" w:type="dxa"/>
            </w:tcMar>
            <w:vAlign w:val="center"/>
          </w:tcPr>
          <w:p w14:paraId="64C7DFAB" w14:textId="77777777" w:rsidR="00340A38" w:rsidRDefault="00000000">
            <w:pPr>
              <w:spacing w:after="0" w:line="240" w:lineRule="auto"/>
              <w:jc w:val="center"/>
              <w:rPr>
                <w:sz w:val="18"/>
                <w:szCs w:val="18"/>
              </w:rPr>
            </w:pPr>
            <w:r>
              <w:rPr>
                <w:sz w:val="18"/>
                <w:szCs w:val="18"/>
              </w:rPr>
              <w:t xml:space="preserve"> </w:t>
            </w:r>
          </w:p>
        </w:tc>
        <w:tc>
          <w:tcPr>
            <w:tcW w:w="915" w:type="dxa"/>
            <w:tcBorders>
              <w:top w:val="single" w:sz="4" w:space="0" w:color="000000"/>
              <w:left w:val="nil"/>
              <w:bottom w:val="single" w:sz="3" w:space="0" w:color="000000"/>
              <w:right w:val="nil"/>
            </w:tcBorders>
            <w:shd w:val="clear" w:color="auto" w:fill="auto"/>
            <w:tcMar>
              <w:top w:w="20" w:type="dxa"/>
              <w:left w:w="20" w:type="dxa"/>
              <w:bottom w:w="100" w:type="dxa"/>
              <w:right w:w="20" w:type="dxa"/>
            </w:tcMar>
            <w:vAlign w:val="center"/>
          </w:tcPr>
          <w:p w14:paraId="62DC8F3E" w14:textId="77777777" w:rsidR="00340A38" w:rsidRDefault="00000000">
            <w:pPr>
              <w:spacing w:after="0" w:line="240" w:lineRule="auto"/>
              <w:jc w:val="center"/>
              <w:rPr>
                <w:sz w:val="18"/>
                <w:szCs w:val="18"/>
              </w:rPr>
            </w:pPr>
            <w:r>
              <w:rPr>
                <w:sz w:val="18"/>
                <w:szCs w:val="18"/>
              </w:rPr>
              <w:t>N</w:t>
            </w:r>
          </w:p>
        </w:tc>
        <w:tc>
          <w:tcPr>
            <w:tcW w:w="825" w:type="dxa"/>
            <w:tcBorders>
              <w:top w:val="single" w:sz="4" w:space="0" w:color="000000"/>
              <w:left w:val="nil"/>
              <w:bottom w:val="single" w:sz="3" w:space="0" w:color="000000"/>
              <w:right w:val="nil"/>
            </w:tcBorders>
            <w:shd w:val="clear" w:color="auto" w:fill="auto"/>
            <w:tcMar>
              <w:top w:w="20" w:type="dxa"/>
              <w:left w:w="20" w:type="dxa"/>
              <w:bottom w:w="100" w:type="dxa"/>
              <w:right w:w="20" w:type="dxa"/>
            </w:tcMar>
            <w:vAlign w:val="center"/>
          </w:tcPr>
          <w:p w14:paraId="42701B7C" w14:textId="77777777" w:rsidR="00340A38" w:rsidRDefault="00000000">
            <w:pPr>
              <w:spacing w:after="0" w:line="240" w:lineRule="auto"/>
              <w:jc w:val="center"/>
              <w:rPr>
                <w:sz w:val="18"/>
                <w:szCs w:val="18"/>
              </w:rPr>
            </w:pPr>
            <w:r>
              <w:rPr>
                <w:sz w:val="18"/>
                <w:szCs w:val="18"/>
              </w:rPr>
              <w:t>Mean</w:t>
            </w:r>
          </w:p>
        </w:tc>
        <w:tc>
          <w:tcPr>
            <w:tcW w:w="945" w:type="dxa"/>
            <w:tcBorders>
              <w:top w:val="single" w:sz="4" w:space="0" w:color="000000"/>
              <w:left w:val="nil"/>
              <w:bottom w:val="single" w:sz="3" w:space="0" w:color="000000"/>
              <w:right w:val="nil"/>
            </w:tcBorders>
            <w:shd w:val="clear" w:color="auto" w:fill="auto"/>
            <w:tcMar>
              <w:top w:w="20" w:type="dxa"/>
              <w:left w:w="20" w:type="dxa"/>
              <w:bottom w:w="100" w:type="dxa"/>
              <w:right w:w="20" w:type="dxa"/>
            </w:tcMar>
            <w:vAlign w:val="center"/>
          </w:tcPr>
          <w:p w14:paraId="61DB3558" w14:textId="77777777" w:rsidR="00340A38" w:rsidRDefault="00000000">
            <w:pPr>
              <w:spacing w:after="0" w:line="240" w:lineRule="auto"/>
              <w:jc w:val="center"/>
              <w:rPr>
                <w:sz w:val="18"/>
                <w:szCs w:val="18"/>
              </w:rPr>
            </w:pPr>
            <w:r>
              <w:rPr>
                <w:sz w:val="18"/>
                <w:szCs w:val="18"/>
              </w:rPr>
              <w:t>SD</w:t>
            </w:r>
          </w:p>
        </w:tc>
        <w:tc>
          <w:tcPr>
            <w:tcW w:w="915" w:type="dxa"/>
            <w:tcBorders>
              <w:top w:val="single" w:sz="4" w:space="0" w:color="000000"/>
              <w:left w:val="nil"/>
              <w:bottom w:val="single" w:sz="3" w:space="0" w:color="000000"/>
              <w:right w:val="nil"/>
            </w:tcBorders>
            <w:shd w:val="clear" w:color="auto" w:fill="auto"/>
            <w:tcMar>
              <w:top w:w="20" w:type="dxa"/>
              <w:left w:w="20" w:type="dxa"/>
              <w:bottom w:w="100" w:type="dxa"/>
              <w:right w:w="20" w:type="dxa"/>
            </w:tcMar>
            <w:vAlign w:val="center"/>
          </w:tcPr>
          <w:p w14:paraId="319A4DE2" w14:textId="77777777" w:rsidR="00340A38" w:rsidRDefault="00000000">
            <w:pPr>
              <w:spacing w:after="0" w:line="240" w:lineRule="auto"/>
              <w:jc w:val="center"/>
              <w:rPr>
                <w:sz w:val="18"/>
                <w:szCs w:val="18"/>
              </w:rPr>
            </w:pPr>
            <w:r>
              <w:rPr>
                <w:sz w:val="18"/>
                <w:szCs w:val="18"/>
              </w:rPr>
              <w:t>N</w:t>
            </w:r>
          </w:p>
        </w:tc>
        <w:tc>
          <w:tcPr>
            <w:tcW w:w="900" w:type="dxa"/>
            <w:tcBorders>
              <w:top w:val="single" w:sz="4" w:space="0" w:color="000000"/>
              <w:left w:val="nil"/>
              <w:bottom w:val="single" w:sz="3" w:space="0" w:color="000000"/>
              <w:right w:val="nil"/>
            </w:tcBorders>
            <w:shd w:val="clear" w:color="auto" w:fill="auto"/>
            <w:tcMar>
              <w:top w:w="20" w:type="dxa"/>
              <w:left w:w="20" w:type="dxa"/>
              <w:bottom w:w="100" w:type="dxa"/>
              <w:right w:w="20" w:type="dxa"/>
            </w:tcMar>
            <w:vAlign w:val="center"/>
          </w:tcPr>
          <w:p w14:paraId="07AA9393" w14:textId="77777777" w:rsidR="00340A38" w:rsidRDefault="00000000">
            <w:pPr>
              <w:spacing w:after="0" w:line="240" w:lineRule="auto"/>
              <w:jc w:val="center"/>
              <w:rPr>
                <w:sz w:val="18"/>
                <w:szCs w:val="18"/>
              </w:rPr>
            </w:pPr>
            <w:r>
              <w:rPr>
                <w:sz w:val="18"/>
                <w:szCs w:val="18"/>
              </w:rPr>
              <w:t>Mean</w:t>
            </w:r>
          </w:p>
        </w:tc>
        <w:tc>
          <w:tcPr>
            <w:tcW w:w="825" w:type="dxa"/>
            <w:tcBorders>
              <w:top w:val="single" w:sz="4" w:space="0" w:color="000000"/>
              <w:left w:val="nil"/>
              <w:bottom w:val="single" w:sz="3" w:space="0" w:color="000000"/>
              <w:right w:val="nil"/>
            </w:tcBorders>
            <w:shd w:val="clear" w:color="auto" w:fill="auto"/>
            <w:tcMar>
              <w:top w:w="20" w:type="dxa"/>
              <w:left w:w="20" w:type="dxa"/>
              <w:bottom w:w="100" w:type="dxa"/>
              <w:right w:w="20" w:type="dxa"/>
            </w:tcMar>
            <w:vAlign w:val="center"/>
          </w:tcPr>
          <w:p w14:paraId="35EC11EB" w14:textId="77777777" w:rsidR="00340A38" w:rsidRDefault="00000000">
            <w:pPr>
              <w:spacing w:after="0" w:line="240" w:lineRule="auto"/>
              <w:jc w:val="center"/>
              <w:rPr>
                <w:sz w:val="18"/>
                <w:szCs w:val="18"/>
              </w:rPr>
            </w:pPr>
            <w:r>
              <w:rPr>
                <w:sz w:val="18"/>
                <w:szCs w:val="18"/>
              </w:rPr>
              <w:t>SD</w:t>
            </w:r>
          </w:p>
        </w:tc>
        <w:tc>
          <w:tcPr>
            <w:tcW w:w="1410" w:type="dxa"/>
            <w:tcBorders>
              <w:top w:val="single" w:sz="4" w:space="0" w:color="000000"/>
              <w:left w:val="nil"/>
              <w:bottom w:val="single" w:sz="3" w:space="0" w:color="000000"/>
              <w:right w:val="nil"/>
            </w:tcBorders>
            <w:shd w:val="clear" w:color="auto" w:fill="auto"/>
            <w:tcMar>
              <w:top w:w="20" w:type="dxa"/>
              <w:left w:w="20" w:type="dxa"/>
              <w:bottom w:w="100" w:type="dxa"/>
              <w:right w:w="20" w:type="dxa"/>
            </w:tcMar>
            <w:vAlign w:val="center"/>
          </w:tcPr>
          <w:p w14:paraId="3C7841F5" w14:textId="77777777" w:rsidR="00340A38" w:rsidRDefault="00000000">
            <w:pPr>
              <w:spacing w:after="0" w:line="240" w:lineRule="auto"/>
              <w:jc w:val="center"/>
              <w:rPr>
                <w:sz w:val="18"/>
                <w:szCs w:val="18"/>
              </w:rPr>
            </w:pPr>
            <w:r>
              <w:rPr>
                <w:sz w:val="18"/>
                <w:szCs w:val="18"/>
              </w:rPr>
              <w:t>Diff</w:t>
            </w:r>
          </w:p>
        </w:tc>
        <w:tc>
          <w:tcPr>
            <w:tcW w:w="1095" w:type="dxa"/>
            <w:tcBorders>
              <w:top w:val="single" w:sz="4" w:space="0" w:color="000000"/>
              <w:left w:val="nil"/>
              <w:bottom w:val="single" w:sz="3" w:space="0" w:color="000000"/>
              <w:right w:val="nil"/>
            </w:tcBorders>
            <w:shd w:val="clear" w:color="auto" w:fill="auto"/>
            <w:tcMar>
              <w:top w:w="20" w:type="dxa"/>
              <w:left w:w="20" w:type="dxa"/>
              <w:bottom w:w="100" w:type="dxa"/>
              <w:right w:w="20" w:type="dxa"/>
            </w:tcMar>
            <w:vAlign w:val="center"/>
          </w:tcPr>
          <w:p w14:paraId="6C8728D2" w14:textId="77777777" w:rsidR="00340A38" w:rsidRDefault="00000000">
            <w:pPr>
              <w:spacing w:after="0" w:line="240" w:lineRule="auto"/>
              <w:jc w:val="center"/>
              <w:rPr>
                <w:sz w:val="18"/>
                <w:szCs w:val="18"/>
              </w:rPr>
            </w:pPr>
            <w:r>
              <w:rPr>
                <w:sz w:val="18"/>
                <w:szCs w:val="18"/>
              </w:rPr>
              <w:t>T-value</w:t>
            </w:r>
          </w:p>
        </w:tc>
      </w:tr>
      <w:tr w:rsidR="00340A38" w14:paraId="0A9CBFCB" w14:textId="77777777">
        <w:tc>
          <w:tcPr>
            <w:tcW w:w="1395" w:type="dxa"/>
            <w:tcBorders>
              <w:top w:val="nil"/>
              <w:left w:val="nil"/>
              <w:bottom w:val="nil"/>
              <w:right w:val="nil"/>
            </w:tcBorders>
            <w:shd w:val="clear" w:color="auto" w:fill="auto"/>
            <w:tcMar>
              <w:top w:w="20" w:type="dxa"/>
              <w:left w:w="20" w:type="dxa"/>
              <w:bottom w:w="100" w:type="dxa"/>
              <w:right w:w="20" w:type="dxa"/>
            </w:tcMar>
            <w:vAlign w:val="center"/>
          </w:tcPr>
          <w:p w14:paraId="688A4CDE" w14:textId="77777777" w:rsidR="00340A38" w:rsidRDefault="00000000">
            <w:pPr>
              <w:spacing w:after="0" w:line="240" w:lineRule="auto"/>
              <w:jc w:val="center"/>
              <w:rPr>
                <w:sz w:val="18"/>
                <w:szCs w:val="18"/>
              </w:rPr>
            </w:pPr>
            <w:r>
              <w:rPr>
                <w:sz w:val="18"/>
                <w:szCs w:val="18"/>
              </w:rPr>
              <w:t>LEV</w:t>
            </w:r>
          </w:p>
        </w:tc>
        <w:tc>
          <w:tcPr>
            <w:tcW w:w="915" w:type="dxa"/>
            <w:tcBorders>
              <w:top w:val="nil"/>
              <w:left w:val="nil"/>
              <w:bottom w:val="nil"/>
              <w:right w:val="nil"/>
            </w:tcBorders>
            <w:shd w:val="clear" w:color="auto" w:fill="auto"/>
            <w:tcMar>
              <w:top w:w="20" w:type="dxa"/>
              <w:left w:w="20" w:type="dxa"/>
              <w:bottom w:w="100" w:type="dxa"/>
              <w:right w:w="20" w:type="dxa"/>
            </w:tcMar>
            <w:vAlign w:val="center"/>
          </w:tcPr>
          <w:p w14:paraId="1CB3C31B" w14:textId="77777777" w:rsidR="00340A38" w:rsidRDefault="00000000">
            <w:pPr>
              <w:spacing w:after="0" w:line="240" w:lineRule="auto"/>
              <w:jc w:val="center"/>
              <w:rPr>
                <w:sz w:val="18"/>
                <w:szCs w:val="18"/>
              </w:rPr>
            </w:pPr>
            <w:r>
              <w:rPr>
                <w:sz w:val="18"/>
                <w:szCs w:val="18"/>
              </w:rPr>
              <w:t xml:space="preserve">  4,494</w:t>
            </w:r>
          </w:p>
        </w:tc>
        <w:tc>
          <w:tcPr>
            <w:tcW w:w="825" w:type="dxa"/>
            <w:tcBorders>
              <w:top w:val="nil"/>
              <w:left w:val="nil"/>
              <w:bottom w:val="nil"/>
              <w:right w:val="nil"/>
            </w:tcBorders>
            <w:shd w:val="clear" w:color="auto" w:fill="auto"/>
            <w:tcMar>
              <w:top w:w="20" w:type="dxa"/>
              <w:left w:w="20" w:type="dxa"/>
              <w:bottom w:w="100" w:type="dxa"/>
              <w:right w:w="20" w:type="dxa"/>
            </w:tcMar>
            <w:vAlign w:val="center"/>
          </w:tcPr>
          <w:p w14:paraId="3750B036" w14:textId="77777777" w:rsidR="00340A38" w:rsidRDefault="00000000">
            <w:pPr>
              <w:spacing w:after="0" w:line="240" w:lineRule="auto"/>
              <w:jc w:val="center"/>
              <w:rPr>
                <w:sz w:val="18"/>
                <w:szCs w:val="18"/>
              </w:rPr>
            </w:pPr>
            <w:r>
              <w:rPr>
                <w:sz w:val="18"/>
                <w:szCs w:val="18"/>
              </w:rPr>
              <w:t>0.409</w:t>
            </w:r>
          </w:p>
        </w:tc>
        <w:tc>
          <w:tcPr>
            <w:tcW w:w="945" w:type="dxa"/>
            <w:tcBorders>
              <w:top w:val="nil"/>
              <w:left w:val="nil"/>
              <w:bottom w:val="nil"/>
              <w:right w:val="nil"/>
            </w:tcBorders>
            <w:shd w:val="clear" w:color="auto" w:fill="auto"/>
            <w:tcMar>
              <w:top w:w="20" w:type="dxa"/>
              <w:left w:w="20" w:type="dxa"/>
              <w:bottom w:w="100" w:type="dxa"/>
              <w:right w:w="20" w:type="dxa"/>
            </w:tcMar>
            <w:vAlign w:val="center"/>
          </w:tcPr>
          <w:p w14:paraId="2D84D372" w14:textId="77777777" w:rsidR="00340A38" w:rsidRDefault="00000000">
            <w:pPr>
              <w:spacing w:after="0" w:line="240" w:lineRule="auto"/>
              <w:jc w:val="center"/>
              <w:rPr>
                <w:sz w:val="18"/>
                <w:szCs w:val="18"/>
              </w:rPr>
            </w:pPr>
            <w:r>
              <w:rPr>
                <w:sz w:val="18"/>
                <w:szCs w:val="18"/>
              </w:rPr>
              <w:t>0.297</w:t>
            </w:r>
          </w:p>
        </w:tc>
        <w:tc>
          <w:tcPr>
            <w:tcW w:w="915" w:type="dxa"/>
            <w:tcBorders>
              <w:top w:val="nil"/>
              <w:left w:val="nil"/>
              <w:bottom w:val="nil"/>
              <w:right w:val="nil"/>
            </w:tcBorders>
            <w:shd w:val="clear" w:color="auto" w:fill="auto"/>
            <w:tcMar>
              <w:top w:w="20" w:type="dxa"/>
              <w:left w:w="20" w:type="dxa"/>
              <w:bottom w:w="100" w:type="dxa"/>
              <w:right w:w="20" w:type="dxa"/>
            </w:tcMar>
            <w:vAlign w:val="center"/>
          </w:tcPr>
          <w:p w14:paraId="5BB08F5C" w14:textId="77777777" w:rsidR="00340A38" w:rsidRDefault="00000000">
            <w:pPr>
              <w:spacing w:after="0" w:line="240" w:lineRule="auto"/>
              <w:jc w:val="center"/>
              <w:rPr>
                <w:sz w:val="18"/>
                <w:szCs w:val="18"/>
              </w:rPr>
            </w:pPr>
            <w:r>
              <w:rPr>
                <w:sz w:val="18"/>
                <w:szCs w:val="18"/>
              </w:rPr>
              <w:t xml:space="preserve">  2,911</w:t>
            </w:r>
          </w:p>
        </w:tc>
        <w:tc>
          <w:tcPr>
            <w:tcW w:w="900" w:type="dxa"/>
            <w:tcBorders>
              <w:top w:val="nil"/>
              <w:left w:val="nil"/>
              <w:bottom w:val="nil"/>
              <w:right w:val="nil"/>
            </w:tcBorders>
            <w:shd w:val="clear" w:color="auto" w:fill="auto"/>
            <w:tcMar>
              <w:top w:w="20" w:type="dxa"/>
              <w:left w:w="20" w:type="dxa"/>
              <w:bottom w:w="100" w:type="dxa"/>
              <w:right w:w="20" w:type="dxa"/>
            </w:tcMar>
            <w:vAlign w:val="center"/>
          </w:tcPr>
          <w:p w14:paraId="1F78992F" w14:textId="77777777" w:rsidR="00340A38" w:rsidRDefault="00000000">
            <w:pPr>
              <w:spacing w:after="0" w:line="240" w:lineRule="auto"/>
              <w:jc w:val="center"/>
              <w:rPr>
                <w:sz w:val="18"/>
                <w:szCs w:val="18"/>
              </w:rPr>
            </w:pPr>
            <w:r>
              <w:rPr>
                <w:sz w:val="18"/>
                <w:szCs w:val="18"/>
              </w:rPr>
              <w:t>0.501</w:t>
            </w:r>
          </w:p>
        </w:tc>
        <w:tc>
          <w:tcPr>
            <w:tcW w:w="825" w:type="dxa"/>
            <w:tcBorders>
              <w:top w:val="nil"/>
              <w:left w:val="nil"/>
              <w:bottom w:val="nil"/>
              <w:right w:val="nil"/>
            </w:tcBorders>
            <w:shd w:val="clear" w:color="auto" w:fill="auto"/>
            <w:tcMar>
              <w:top w:w="20" w:type="dxa"/>
              <w:left w:w="20" w:type="dxa"/>
              <w:bottom w:w="100" w:type="dxa"/>
              <w:right w:w="20" w:type="dxa"/>
            </w:tcMar>
            <w:vAlign w:val="center"/>
          </w:tcPr>
          <w:p w14:paraId="709974F7" w14:textId="77777777" w:rsidR="00340A38" w:rsidRDefault="00000000">
            <w:pPr>
              <w:spacing w:after="0" w:line="240" w:lineRule="auto"/>
              <w:jc w:val="center"/>
              <w:rPr>
                <w:sz w:val="18"/>
                <w:szCs w:val="18"/>
              </w:rPr>
            </w:pPr>
            <w:r>
              <w:rPr>
                <w:sz w:val="18"/>
                <w:szCs w:val="18"/>
              </w:rPr>
              <w:t>0.210</w:t>
            </w:r>
          </w:p>
        </w:tc>
        <w:tc>
          <w:tcPr>
            <w:tcW w:w="1410" w:type="dxa"/>
            <w:tcBorders>
              <w:top w:val="nil"/>
              <w:left w:val="nil"/>
              <w:bottom w:val="nil"/>
              <w:right w:val="nil"/>
            </w:tcBorders>
            <w:shd w:val="clear" w:color="auto" w:fill="auto"/>
            <w:tcMar>
              <w:top w:w="20" w:type="dxa"/>
              <w:left w:w="20" w:type="dxa"/>
              <w:bottom w:w="100" w:type="dxa"/>
              <w:right w:w="20" w:type="dxa"/>
            </w:tcMar>
            <w:vAlign w:val="center"/>
          </w:tcPr>
          <w:p w14:paraId="4A292037" w14:textId="77777777" w:rsidR="00340A38" w:rsidRDefault="00000000">
            <w:pPr>
              <w:spacing w:after="0" w:line="240" w:lineRule="auto"/>
              <w:jc w:val="center"/>
              <w:rPr>
                <w:sz w:val="18"/>
                <w:szCs w:val="18"/>
              </w:rPr>
            </w:pPr>
            <w:r>
              <w:rPr>
                <w:sz w:val="18"/>
                <w:szCs w:val="18"/>
              </w:rPr>
              <w:t>-0.0921</w:t>
            </w:r>
          </w:p>
        </w:tc>
        <w:tc>
          <w:tcPr>
            <w:tcW w:w="1095" w:type="dxa"/>
            <w:tcBorders>
              <w:top w:val="nil"/>
              <w:left w:val="nil"/>
              <w:bottom w:val="nil"/>
              <w:right w:val="nil"/>
            </w:tcBorders>
            <w:shd w:val="clear" w:color="auto" w:fill="auto"/>
            <w:tcMar>
              <w:top w:w="20" w:type="dxa"/>
              <w:left w:w="20" w:type="dxa"/>
              <w:bottom w:w="100" w:type="dxa"/>
              <w:right w:w="20" w:type="dxa"/>
            </w:tcMar>
            <w:vAlign w:val="center"/>
          </w:tcPr>
          <w:p w14:paraId="26C5BAD2" w14:textId="77777777" w:rsidR="00340A38" w:rsidRDefault="00000000">
            <w:pPr>
              <w:spacing w:after="0" w:line="240" w:lineRule="auto"/>
              <w:jc w:val="center"/>
              <w:rPr>
                <w:sz w:val="18"/>
                <w:szCs w:val="18"/>
              </w:rPr>
            </w:pPr>
            <w:r>
              <w:rPr>
                <w:sz w:val="18"/>
                <w:szCs w:val="18"/>
              </w:rPr>
              <w:t>-15.621</w:t>
            </w:r>
          </w:p>
        </w:tc>
      </w:tr>
      <w:tr w:rsidR="00340A38" w14:paraId="2D539275" w14:textId="77777777">
        <w:tc>
          <w:tcPr>
            <w:tcW w:w="1395" w:type="dxa"/>
            <w:tcBorders>
              <w:top w:val="nil"/>
              <w:left w:val="nil"/>
              <w:bottom w:val="nil"/>
              <w:right w:val="nil"/>
            </w:tcBorders>
            <w:shd w:val="clear" w:color="auto" w:fill="auto"/>
            <w:tcMar>
              <w:top w:w="20" w:type="dxa"/>
              <w:left w:w="20" w:type="dxa"/>
              <w:bottom w:w="100" w:type="dxa"/>
              <w:right w:w="20" w:type="dxa"/>
            </w:tcMar>
            <w:vAlign w:val="center"/>
          </w:tcPr>
          <w:p w14:paraId="3A767662" w14:textId="77777777" w:rsidR="00340A38" w:rsidRDefault="00000000">
            <w:pPr>
              <w:spacing w:after="0" w:line="240" w:lineRule="auto"/>
              <w:jc w:val="center"/>
              <w:rPr>
                <w:sz w:val="18"/>
                <w:szCs w:val="18"/>
              </w:rPr>
            </w:pPr>
            <w:r>
              <w:rPr>
                <w:sz w:val="18"/>
                <w:szCs w:val="18"/>
              </w:rPr>
              <w:t>CEO2</w:t>
            </w:r>
          </w:p>
        </w:tc>
        <w:tc>
          <w:tcPr>
            <w:tcW w:w="915" w:type="dxa"/>
            <w:tcBorders>
              <w:top w:val="nil"/>
              <w:left w:val="nil"/>
              <w:bottom w:val="nil"/>
              <w:right w:val="nil"/>
            </w:tcBorders>
            <w:shd w:val="clear" w:color="auto" w:fill="auto"/>
            <w:tcMar>
              <w:top w:w="20" w:type="dxa"/>
              <w:left w:w="20" w:type="dxa"/>
              <w:bottom w:w="100" w:type="dxa"/>
              <w:right w:w="20" w:type="dxa"/>
            </w:tcMar>
            <w:vAlign w:val="center"/>
          </w:tcPr>
          <w:p w14:paraId="6DA86ACF" w14:textId="77777777" w:rsidR="00340A38" w:rsidRDefault="00000000">
            <w:pPr>
              <w:spacing w:after="0" w:line="240" w:lineRule="auto"/>
              <w:jc w:val="center"/>
              <w:rPr>
                <w:sz w:val="18"/>
                <w:szCs w:val="18"/>
              </w:rPr>
            </w:pPr>
            <w:r>
              <w:rPr>
                <w:sz w:val="18"/>
                <w:szCs w:val="18"/>
              </w:rPr>
              <w:t xml:space="preserve">  4,494</w:t>
            </w:r>
          </w:p>
        </w:tc>
        <w:tc>
          <w:tcPr>
            <w:tcW w:w="825" w:type="dxa"/>
            <w:tcBorders>
              <w:top w:val="nil"/>
              <w:left w:val="nil"/>
              <w:bottom w:val="nil"/>
              <w:right w:val="nil"/>
            </w:tcBorders>
            <w:shd w:val="clear" w:color="auto" w:fill="auto"/>
            <w:tcMar>
              <w:top w:w="20" w:type="dxa"/>
              <w:left w:w="20" w:type="dxa"/>
              <w:bottom w:w="100" w:type="dxa"/>
              <w:right w:w="20" w:type="dxa"/>
            </w:tcMar>
            <w:vAlign w:val="center"/>
          </w:tcPr>
          <w:p w14:paraId="711685E6" w14:textId="77777777" w:rsidR="00340A38" w:rsidRDefault="00000000">
            <w:pPr>
              <w:spacing w:after="0" w:line="240" w:lineRule="auto"/>
              <w:jc w:val="center"/>
              <w:rPr>
                <w:sz w:val="18"/>
                <w:szCs w:val="18"/>
              </w:rPr>
            </w:pPr>
            <w:r>
              <w:rPr>
                <w:sz w:val="18"/>
                <w:szCs w:val="18"/>
              </w:rPr>
              <w:t>0.093</w:t>
            </w:r>
          </w:p>
        </w:tc>
        <w:tc>
          <w:tcPr>
            <w:tcW w:w="945" w:type="dxa"/>
            <w:tcBorders>
              <w:top w:val="nil"/>
              <w:left w:val="nil"/>
              <w:bottom w:val="nil"/>
              <w:right w:val="nil"/>
            </w:tcBorders>
            <w:shd w:val="clear" w:color="auto" w:fill="auto"/>
            <w:tcMar>
              <w:top w:w="20" w:type="dxa"/>
              <w:left w:w="20" w:type="dxa"/>
              <w:bottom w:w="100" w:type="dxa"/>
              <w:right w:w="20" w:type="dxa"/>
            </w:tcMar>
            <w:vAlign w:val="center"/>
          </w:tcPr>
          <w:p w14:paraId="081BCEC1" w14:textId="77777777" w:rsidR="00340A38" w:rsidRDefault="00000000">
            <w:pPr>
              <w:spacing w:after="0" w:line="240" w:lineRule="auto"/>
              <w:jc w:val="center"/>
              <w:rPr>
                <w:sz w:val="18"/>
                <w:szCs w:val="18"/>
              </w:rPr>
            </w:pPr>
            <w:r>
              <w:rPr>
                <w:sz w:val="18"/>
                <w:szCs w:val="18"/>
              </w:rPr>
              <w:t>1.047</w:t>
            </w:r>
          </w:p>
        </w:tc>
        <w:tc>
          <w:tcPr>
            <w:tcW w:w="915" w:type="dxa"/>
            <w:tcBorders>
              <w:top w:val="nil"/>
              <w:left w:val="nil"/>
              <w:bottom w:val="nil"/>
              <w:right w:val="nil"/>
            </w:tcBorders>
            <w:shd w:val="clear" w:color="auto" w:fill="auto"/>
            <w:tcMar>
              <w:top w:w="20" w:type="dxa"/>
              <w:left w:w="20" w:type="dxa"/>
              <w:bottom w:w="100" w:type="dxa"/>
              <w:right w:w="20" w:type="dxa"/>
            </w:tcMar>
            <w:vAlign w:val="center"/>
          </w:tcPr>
          <w:p w14:paraId="2DD781E1" w14:textId="77777777" w:rsidR="00340A38" w:rsidRDefault="00000000">
            <w:pPr>
              <w:spacing w:after="0" w:line="240" w:lineRule="auto"/>
              <w:jc w:val="center"/>
              <w:rPr>
                <w:sz w:val="18"/>
                <w:szCs w:val="18"/>
              </w:rPr>
            </w:pPr>
            <w:r>
              <w:rPr>
                <w:sz w:val="18"/>
                <w:szCs w:val="18"/>
              </w:rPr>
              <w:t xml:space="preserve">  2,911</w:t>
            </w:r>
          </w:p>
        </w:tc>
        <w:tc>
          <w:tcPr>
            <w:tcW w:w="900" w:type="dxa"/>
            <w:tcBorders>
              <w:top w:val="nil"/>
              <w:left w:val="nil"/>
              <w:bottom w:val="nil"/>
              <w:right w:val="nil"/>
            </w:tcBorders>
            <w:shd w:val="clear" w:color="auto" w:fill="auto"/>
            <w:tcMar>
              <w:top w:w="20" w:type="dxa"/>
              <w:left w:w="20" w:type="dxa"/>
              <w:bottom w:w="100" w:type="dxa"/>
              <w:right w:w="20" w:type="dxa"/>
            </w:tcMar>
            <w:vAlign w:val="center"/>
          </w:tcPr>
          <w:p w14:paraId="3F9E5E51" w14:textId="77777777" w:rsidR="00340A38" w:rsidRDefault="00000000">
            <w:pPr>
              <w:spacing w:after="0" w:line="240" w:lineRule="auto"/>
              <w:jc w:val="center"/>
              <w:rPr>
                <w:sz w:val="18"/>
                <w:szCs w:val="18"/>
              </w:rPr>
            </w:pPr>
            <w:r>
              <w:rPr>
                <w:sz w:val="18"/>
                <w:szCs w:val="18"/>
              </w:rPr>
              <w:t>-0.144</w:t>
            </w:r>
          </w:p>
        </w:tc>
        <w:tc>
          <w:tcPr>
            <w:tcW w:w="825" w:type="dxa"/>
            <w:tcBorders>
              <w:top w:val="nil"/>
              <w:left w:val="nil"/>
              <w:bottom w:val="nil"/>
              <w:right w:val="nil"/>
            </w:tcBorders>
            <w:shd w:val="clear" w:color="auto" w:fill="auto"/>
            <w:tcMar>
              <w:top w:w="20" w:type="dxa"/>
              <w:left w:w="20" w:type="dxa"/>
              <w:bottom w:w="100" w:type="dxa"/>
              <w:right w:w="20" w:type="dxa"/>
            </w:tcMar>
            <w:vAlign w:val="center"/>
          </w:tcPr>
          <w:p w14:paraId="39953180" w14:textId="77777777" w:rsidR="00340A38" w:rsidRDefault="00000000">
            <w:pPr>
              <w:spacing w:after="0" w:line="240" w:lineRule="auto"/>
              <w:jc w:val="center"/>
              <w:rPr>
                <w:sz w:val="18"/>
                <w:szCs w:val="18"/>
              </w:rPr>
            </w:pPr>
            <w:r>
              <w:rPr>
                <w:sz w:val="18"/>
                <w:szCs w:val="18"/>
              </w:rPr>
              <w:t>0.952</w:t>
            </w:r>
          </w:p>
        </w:tc>
        <w:tc>
          <w:tcPr>
            <w:tcW w:w="1410" w:type="dxa"/>
            <w:tcBorders>
              <w:top w:val="nil"/>
              <w:left w:val="nil"/>
              <w:bottom w:val="nil"/>
              <w:right w:val="nil"/>
            </w:tcBorders>
            <w:shd w:val="clear" w:color="auto" w:fill="auto"/>
            <w:tcMar>
              <w:top w:w="20" w:type="dxa"/>
              <w:left w:w="20" w:type="dxa"/>
              <w:bottom w:w="100" w:type="dxa"/>
              <w:right w:w="20" w:type="dxa"/>
            </w:tcMar>
            <w:vAlign w:val="center"/>
          </w:tcPr>
          <w:p w14:paraId="2B98E0CE" w14:textId="77777777" w:rsidR="00340A38" w:rsidRDefault="00000000">
            <w:pPr>
              <w:spacing w:after="0" w:line="240" w:lineRule="auto"/>
              <w:jc w:val="center"/>
              <w:rPr>
                <w:sz w:val="18"/>
                <w:szCs w:val="18"/>
              </w:rPr>
            </w:pPr>
            <w:r>
              <w:rPr>
                <w:sz w:val="18"/>
                <w:szCs w:val="18"/>
              </w:rPr>
              <w:t>0.2375</w:t>
            </w:r>
          </w:p>
        </w:tc>
        <w:tc>
          <w:tcPr>
            <w:tcW w:w="1095" w:type="dxa"/>
            <w:tcBorders>
              <w:top w:val="nil"/>
              <w:left w:val="nil"/>
              <w:bottom w:val="nil"/>
              <w:right w:val="nil"/>
            </w:tcBorders>
            <w:shd w:val="clear" w:color="auto" w:fill="auto"/>
            <w:tcMar>
              <w:top w:w="20" w:type="dxa"/>
              <w:left w:w="20" w:type="dxa"/>
              <w:bottom w:w="100" w:type="dxa"/>
              <w:right w:w="20" w:type="dxa"/>
            </w:tcMar>
            <w:vAlign w:val="center"/>
          </w:tcPr>
          <w:p w14:paraId="22F5087E" w14:textId="77777777" w:rsidR="00340A38" w:rsidRDefault="00000000">
            <w:pPr>
              <w:spacing w:after="0" w:line="240" w:lineRule="auto"/>
              <w:jc w:val="center"/>
              <w:rPr>
                <w:sz w:val="18"/>
                <w:szCs w:val="18"/>
              </w:rPr>
            </w:pPr>
            <w:r>
              <w:rPr>
                <w:sz w:val="18"/>
                <w:szCs w:val="18"/>
              </w:rPr>
              <w:t>10.074</w:t>
            </w:r>
          </w:p>
        </w:tc>
      </w:tr>
      <w:tr w:rsidR="00340A38" w14:paraId="2788CED4" w14:textId="77777777">
        <w:tc>
          <w:tcPr>
            <w:tcW w:w="1395" w:type="dxa"/>
            <w:tcBorders>
              <w:top w:val="nil"/>
              <w:left w:val="nil"/>
              <w:bottom w:val="nil"/>
              <w:right w:val="nil"/>
            </w:tcBorders>
            <w:shd w:val="clear" w:color="auto" w:fill="auto"/>
            <w:tcMar>
              <w:top w:w="20" w:type="dxa"/>
              <w:left w:w="20" w:type="dxa"/>
              <w:bottom w:w="100" w:type="dxa"/>
              <w:right w:w="20" w:type="dxa"/>
            </w:tcMar>
            <w:vAlign w:val="center"/>
          </w:tcPr>
          <w:p w14:paraId="7A264D52" w14:textId="77777777" w:rsidR="00340A38" w:rsidRDefault="00000000">
            <w:pPr>
              <w:spacing w:after="0" w:line="240" w:lineRule="auto"/>
              <w:jc w:val="center"/>
              <w:rPr>
                <w:sz w:val="18"/>
                <w:szCs w:val="18"/>
              </w:rPr>
            </w:pPr>
            <w:r>
              <w:rPr>
                <w:sz w:val="18"/>
                <w:szCs w:val="18"/>
              </w:rPr>
              <w:t>BOD1</w:t>
            </w:r>
          </w:p>
        </w:tc>
        <w:tc>
          <w:tcPr>
            <w:tcW w:w="915" w:type="dxa"/>
            <w:tcBorders>
              <w:top w:val="nil"/>
              <w:left w:val="nil"/>
              <w:bottom w:val="nil"/>
              <w:right w:val="nil"/>
            </w:tcBorders>
            <w:shd w:val="clear" w:color="auto" w:fill="auto"/>
            <w:tcMar>
              <w:top w:w="20" w:type="dxa"/>
              <w:left w:w="20" w:type="dxa"/>
              <w:bottom w:w="100" w:type="dxa"/>
              <w:right w:w="20" w:type="dxa"/>
            </w:tcMar>
            <w:vAlign w:val="center"/>
          </w:tcPr>
          <w:p w14:paraId="2A71332F" w14:textId="77777777" w:rsidR="00340A38" w:rsidRDefault="00000000">
            <w:pPr>
              <w:spacing w:after="0" w:line="240" w:lineRule="auto"/>
              <w:jc w:val="center"/>
              <w:rPr>
                <w:sz w:val="18"/>
                <w:szCs w:val="18"/>
              </w:rPr>
            </w:pPr>
            <w:r>
              <w:rPr>
                <w:sz w:val="18"/>
                <w:szCs w:val="18"/>
              </w:rPr>
              <w:t xml:space="preserve">  4,494</w:t>
            </w:r>
          </w:p>
        </w:tc>
        <w:tc>
          <w:tcPr>
            <w:tcW w:w="825" w:type="dxa"/>
            <w:tcBorders>
              <w:top w:val="nil"/>
              <w:left w:val="nil"/>
              <w:bottom w:val="nil"/>
              <w:right w:val="nil"/>
            </w:tcBorders>
            <w:shd w:val="clear" w:color="auto" w:fill="auto"/>
            <w:tcMar>
              <w:top w:w="20" w:type="dxa"/>
              <w:left w:w="20" w:type="dxa"/>
              <w:bottom w:w="100" w:type="dxa"/>
              <w:right w:w="20" w:type="dxa"/>
            </w:tcMar>
            <w:vAlign w:val="center"/>
          </w:tcPr>
          <w:p w14:paraId="53C5573B" w14:textId="77777777" w:rsidR="00340A38" w:rsidRDefault="00000000">
            <w:pPr>
              <w:spacing w:after="0" w:line="240" w:lineRule="auto"/>
              <w:jc w:val="center"/>
              <w:rPr>
                <w:sz w:val="18"/>
                <w:szCs w:val="18"/>
              </w:rPr>
            </w:pPr>
            <w:r>
              <w:rPr>
                <w:sz w:val="18"/>
                <w:szCs w:val="18"/>
              </w:rPr>
              <w:t>0.190</w:t>
            </w:r>
          </w:p>
        </w:tc>
        <w:tc>
          <w:tcPr>
            <w:tcW w:w="945" w:type="dxa"/>
            <w:tcBorders>
              <w:top w:val="nil"/>
              <w:left w:val="nil"/>
              <w:bottom w:val="nil"/>
              <w:right w:val="nil"/>
            </w:tcBorders>
            <w:shd w:val="clear" w:color="auto" w:fill="auto"/>
            <w:tcMar>
              <w:top w:w="20" w:type="dxa"/>
              <w:left w:w="20" w:type="dxa"/>
              <w:bottom w:w="100" w:type="dxa"/>
              <w:right w:w="20" w:type="dxa"/>
            </w:tcMar>
            <w:vAlign w:val="center"/>
          </w:tcPr>
          <w:p w14:paraId="54B0655F" w14:textId="77777777" w:rsidR="00340A38" w:rsidRDefault="00000000">
            <w:pPr>
              <w:spacing w:after="0" w:line="240" w:lineRule="auto"/>
              <w:jc w:val="center"/>
              <w:rPr>
                <w:sz w:val="18"/>
                <w:szCs w:val="18"/>
              </w:rPr>
            </w:pPr>
            <w:r>
              <w:rPr>
                <w:sz w:val="18"/>
                <w:szCs w:val="18"/>
              </w:rPr>
              <w:t>0.866</w:t>
            </w:r>
          </w:p>
        </w:tc>
        <w:tc>
          <w:tcPr>
            <w:tcW w:w="915" w:type="dxa"/>
            <w:tcBorders>
              <w:top w:val="nil"/>
              <w:left w:val="nil"/>
              <w:bottom w:val="nil"/>
              <w:right w:val="nil"/>
            </w:tcBorders>
            <w:shd w:val="clear" w:color="auto" w:fill="auto"/>
            <w:tcMar>
              <w:top w:w="20" w:type="dxa"/>
              <w:left w:w="20" w:type="dxa"/>
              <w:bottom w:w="100" w:type="dxa"/>
              <w:right w:w="20" w:type="dxa"/>
            </w:tcMar>
            <w:vAlign w:val="center"/>
          </w:tcPr>
          <w:p w14:paraId="0E2DDFC8" w14:textId="77777777" w:rsidR="00340A38" w:rsidRDefault="00000000">
            <w:pPr>
              <w:spacing w:after="0" w:line="240" w:lineRule="auto"/>
              <w:jc w:val="center"/>
              <w:rPr>
                <w:sz w:val="18"/>
                <w:szCs w:val="18"/>
              </w:rPr>
            </w:pPr>
            <w:r>
              <w:rPr>
                <w:sz w:val="18"/>
                <w:szCs w:val="18"/>
              </w:rPr>
              <w:t xml:space="preserve">  2,911</w:t>
            </w:r>
          </w:p>
        </w:tc>
        <w:tc>
          <w:tcPr>
            <w:tcW w:w="900" w:type="dxa"/>
            <w:tcBorders>
              <w:top w:val="nil"/>
              <w:left w:val="nil"/>
              <w:bottom w:val="nil"/>
              <w:right w:val="nil"/>
            </w:tcBorders>
            <w:shd w:val="clear" w:color="auto" w:fill="auto"/>
            <w:tcMar>
              <w:top w:w="20" w:type="dxa"/>
              <w:left w:w="20" w:type="dxa"/>
              <w:bottom w:w="100" w:type="dxa"/>
              <w:right w:w="20" w:type="dxa"/>
            </w:tcMar>
            <w:vAlign w:val="center"/>
          </w:tcPr>
          <w:p w14:paraId="10EEAF36" w14:textId="77777777" w:rsidR="00340A38" w:rsidRDefault="00000000">
            <w:pPr>
              <w:spacing w:after="0" w:line="240" w:lineRule="auto"/>
              <w:jc w:val="center"/>
              <w:rPr>
                <w:sz w:val="18"/>
                <w:szCs w:val="18"/>
              </w:rPr>
            </w:pPr>
            <w:r>
              <w:rPr>
                <w:sz w:val="18"/>
                <w:szCs w:val="18"/>
              </w:rPr>
              <w:t>-0.293</w:t>
            </w:r>
          </w:p>
        </w:tc>
        <w:tc>
          <w:tcPr>
            <w:tcW w:w="825" w:type="dxa"/>
            <w:tcBorders>
              <w:top w:val="nil"/>
              <w:left w:val="nil"/>
              <w:bottom w:val="nil"/>
              <w:right w:val="nil"/>
            </w:tcBorders>
            <w:shd w:val="clear" w:color="auto" w:fill="auto"/>
            <w:tcMar>
              <w:top w:w="20" w:type="dxa"/>
              <w:left w:w="20" w:type="dxa"/>
              <w:bottom w:w="100" w:type="dxa"/>
              <w:right w:w="20" w:type="dxa"/>
            </w:tcMar>
            <w:vAlign w:val="center"/>
          </w:tcPr>
          <w:p w14:paraId="2FC45CE5" w14:textId="77777777" w:rsidR="00340A38" w:rsidRDefault="00000000">
            <w:pPr>
              <w:spacing w:after="0" w:line="240" w:lineRule="auto"/>
              <w:jc w:val="center"/>
              <w:rPr>
                <w:sz w:val="18"/>
                <w:szCs w:val="18"/>
              </w:rPr>
            </w:pPr>
            <w:r>
              <w:rPr>
                <w:sz w:val="18"/>
                <w:szCs w:val="18"/>
              </w:rPr>
              <w:t>1.115</w:t>
            </w:r>
          </w:p>
        </w:tc>
        <w:tc>
          <w:tcPr>
            <w:tcW w:w="1410" w:type="dxa"/>
            <w:tcBorders>
              <w:top w:val="nil"/>
              <w:left w:val="nil"/>
              <w:bottom w:val="nil"/>
              <w:right w:val="nil"/>
            </w:tcBorders>
            <w:shd w:val="clear" w:color="auto" w:fill="auto"/>
            <w:tcMar>
              <w:top w:w="20" w:type="dxa"/>
              <w:left w:w="20" w:type="dxa"/>
              <w:bottom w:w="100" w:type="dxa"/>
              <w:right w:w="20" w:type="dxa"/>
            </w:tcMar>
            <w:vAlign w:val="center"/>
          </w:tcPr>
          <w:p w14:paraId="1B2C9276" w14:textId="77777777" w:rsidR="00340A38" w:rsidRDefault="00000000">
            <w:pPr>
              <w:spacing w:after="0" w:line="240" w:lineRule="auto"/>
              <w:jc w:val="center"/>
              <w:rPr>
                <w:sz w:val="18"/>
                <w:szCs w:val="18"/>
              </w:rPr>
            </w:pPr>
            <w:r>
              <w:rPr>
                <w:sz w:val="18"/>
                <w:szCs w:val="18"/>
              </w:rPr>
              <w:t>0.483</w:t>
            </w:r>
          </w:p>
        </w:tc>
        <w:tc>
          <w:tcPr>
            <w:tcW w:w="1095" w:type="dxa"/>
            <w:tcBorders>
              <w:top w:val="nil"/>
              <w:left w:val="nil"/>
              <w:bottom w:val="nil"/>
              <w:right w:val="nil"/>
            </w:tcBorders>
            <w:shd w:val="clear" w:color="auto" w:fill="auto"/>
            <w:tcMar>
              <w:top w:w="20" w:type="dxa"/>
              <w:left w:w="20" w:type="dxa"/>
              <w:bottom w:w="100" w:type="dxa"/>
              <w:right w:w="20" w:type="dxa"/>
            </w:tcMar>
            <w:vAlign w:val="center"/>
          </w:tcPr>
          <w:p w14:paraId="17FB8778" w14:textId="77777777" w:rsidR="00340A38" w:rsidRDefault="00000000">
            <w:pPr>
              <w:spacing w:after="0" w:line="240" w:lineRule="auto"/>
              <w:jc w:val="center"/>
              <w:rPr>
                <w:sz w:val="18"/>
                <w:szCs w:val="18"/>
              </w:rPr>
            </w:pPr>
            <w:r>
              <w:rPr>
                <w:sz w:val="18"/>
                <w:szCs w:val="18"/>
              </w:rPr>
              <w:t>10.074</w:t>
            </w:r>
          </w:p>
        </w:tc>
      </w:tr>
      <w:tr w:rsidR="00340A38" w14:paraId="1F9600EC" w14:textId="77777777">
        <w:tc>
          <w:tcPr>
            <w:tcW w:w="1395" w:type="dxa"/>
            <w:tcBorders>
              <w:top w:val="nil"/>
              <w:left w:val="nil"/>
              <w:bottom w:val="nil"/>
              <w:right w:val="nil"/>
            </w:tcBorders>
            <w:shd w:val="clear" w:color="auto" w:fill="auto"/>
            <w:tcMar>
              <w:top w:w="20" w:type="dxa"/>
              <w:left w:w="20" w:type="dxa"/>
              <w:bottom w:w="100" w:type="dxa"/>
              <w:right w:w="20" w:type="dxa"/>
            </w:tcMar>
            <w:vAlign w:val="center"/>
          </w:tcPr>
          <w:p w14:paraId="46735263" w14:textId="77777777" w:rsidR="00340A38" w:rsidRDefault="00000000">
            <w:pPr>
              <w:spacing w:after="0" w:line="240" w:lineRule="auto"/>
              <w:jc w:val="center"/>
              <w:rPr>
                <w:sz w:val="18"/>
                <w:szCs w:val="18"/>
              </w:rPr>
            </w:pPr>
            <w:r>
              <w:rPr>
                <w:sz w:val="18"/>
                <w:szCs w:val="18"/>
              </w:rPr>
              <w:t>IACT</w:t>
            </w:r>
          </w:p>
        </w:tc>
        <w:tc>
          <w:tcPr>
            <w:tcW w:w="915" w:type="dxa"/>
            <w:tcBorders>
              <w:top w:val="nil"/>
              <w:left w:val="nil"/>
              <w:bottom w:val="nil"/>
              <w:right w:val="nil"/>
            </w:tcBorders>
            <w:shd w:val="clear" w:color="auto" w:fill="auto"/>
            <w:tcMar>
              <w:top w:w="20" w:type="dxa"/>
              <w:left w:w="20" w:type="dxa"/>
              <w:bottom w:w="100" w:type="dxa"/>
              <w:right w:w="20" w:type="dxa"/>
            </w:tcMar>
            <w:vAlign w:val="center"/>
          </w:tcPr>
          <w:p w14:paraId="512C82B8" w14:textId="77777777" w:rsidR="00340A38" w:rsidRDefault="00000000">
            <w:pPr>
              <w:spacing w:after="0" w:line="240" w:lineRule="auto"/>
              <w:jc w:val="center"/>
              <w:rPr>
                <w:sz w:val="18"/>
                <w:szCs w:val="18"/>
              </w:rPr>
            </w:pPr>
            <w:r>
              <w:rPr>
                <w:sz w:val="18"/>
                <w:szCs w:val="18"/>
              </w:rPr>
              <w:t xml:space="preserve">  4,494</w:t>
            </w:r>
          </w:p>
        </w:tc>
        <w:tc>
          <w:tcPr>
            <w:tcW w:w="825" w:type="dxa"/>
            <w:tcBorders>
              <w:top w:val="nil"/>
              <w:left w:val="nil"/>
              <w:bottom w:val="nil"/>
              <w:right w:val="nil"/>
            </w:tcBorders>
            <w:shd w:val="clear" w:color="auto" w:fill="auto"/>
            <w:tcMar>
              <w:top w:w="20" w:type="dxa"/>
              <w:left w:w="20" w:type="dxa"/>
              <w:bottom w:w="100" w:type="dxa"/>
              <w:right w:w="20" w:type="dxa"/>
            </w:tcMar>
            <w:vAlign w:val="center"/>
          </w:tcPr>
          <w:p w14:paraId="339FB61E" w14:textId="77777777" w:rsidR="00340A38" w:rsidRDefault="00000000">
            <w:pPr>
              <w:spacing w:after="0" w:line="240" w:lineRule="auto"/>
              <w:jc w:val="center"/>
              <w:rPr>
                <w:sz w:val="18"/>
                <w:szCs w:val="18"/>
              </w:rPr>
            </w:pPr>
            <w:r>
              <w:rPr>
                <w:sz w:val="18"/>
                <w:szCs w:val="18"/>
              </w:rPr>
              <w:t>0.935</w:t>
            </w:r>
          </w:p>
        </w:tc>
        <w:tc>
          <w:tcPr>
            <w:tcW w:w="945" w:type="dxa"/>
            <w:tcBorders>
              <w:top w:val="nil"/>
              <w:left w:val="nil"/>
              <w:bottom w:val="nil"/>
              <w:right w:val="nil"/>
            </w:tcBorders>
            <w:shd w:val="clear" w:color="auto" w:fill="auto"/>
            <w:tcMar>
              <w:top w:w="20" w:type="dxa"/>
              <w:left w:w="20" w:type="dxa"/>
              <w:bottom w:w="100" w:type="dxa"/>
              <w:right w:w="20" w:type="dxa"/>
            </w:tcMar>
            <w:vAlign w:val="center"/>
          </w:tcPr>
          <w:p w14:paraId="111A7E9C" w14:textId="77777777" w:rsidR="00340A38" w:rsidRDefault="00000000">
            <w:pPr>
              <w:spacing w:after="0" w:line="240" w:lineRule="auto"/>
              <w:jc w:val="center"/>
              <w:rPr>
                <w:sz w:val="18"/>
                <w:szCs w:val="18"/>
              </w:rPr>
            </w:pPr>
            <w:r>
              <w:rPr>
                <w:sz w:val="18"/>
                <w:szCs w:val="18"/>
              </w:rPr>
              <w:t>0.097</w:t>
            </w:r>
          </w:p>
        </w:tc>
        <w:tc>
          <w:tcPr>
            <w:tcW w:w="915" w:type="dxa"/>
            <w:tcBorders>
              <w:top w:val="nil"/>
              <w:left w:val="nil"/>
              <w:bottom w:val="nil"/>
              <w:right w:val="nil"/>
            </w:tcBorders>
            <w:shd w:val="clear" w:color="auto" w:fill="auto"/>
            <w:tcMar>
              <w:top w:w="20" w:type="dxa"/>
              <w:left w:w="20" w:type="dxa"/>
              <w:bottom w:w="100" w:type="dxa"/>
              <w:right w:w="20" w:type="dxa"/>
            </w:tcMar>
            <w:vAlign w:val="center"/>
          </w:tcPr>
          <w:p w14:paraId="4077D4C1" w14:textId="77777777" w:rsidR="00340A38" w:rsidRDefault="00000000">
            <w:pPr>
              <w:spacing w:after="0" w:line="240" w:lineRule="auto"/>
              <w:jc w:val="center"/>
              <w:rPr>
                <w:sz w:val="18"/>
                <w:szCs w:val="18"/>
              </w:rPr>
            </w:pPr>
            <w:r>
              <w:rPr>
                <w:sz w:val="18"/>
                <w:szCs w:val="18"/>
              </w:rPr>
              <w:t xml:space="preserve">  2,911</w:t>
            </w:r>
          </w:p>
        </w:tc>
        <w:tc>
          <w:tcPr>
            <w:tcW w:w="900" w:type="dxa"/>
            <w:tcBorders>
              <w:top w:val="nil"/>
              <w:left w:val="nil"/>
              <w:bottom w:val="nil"/>
              <w:right w:val="nil"/>
            </w:tcBorders>
            <w:shd w:val="clear" w:color="auto" w:fill="auto"/>
            <w:tcMar>
              <w:top w:w="20" w:type="dxa"/>
              <w:left w:w="20" w:type="dxa"/>
              <w:bottom w:w="100" w:type="dxa"/>
              <w:right w:w="20" w:type="dxa"/>
            </w:tcMar>
            <w:vAlign w:val="center"/>
          </w:tcPr>
          <w:p w14:paraId="5029BECA" w14:textId="77777777" w:rsidR="00340A38" w:rsidRDefault="00000000">
            <w:pPr>
              <w:spacing w:after="0" w:line="240" w:lineRule="auto"/>
              <w:jc w:val="center"/>
              <w:rPr>
                <w:sz w:val="18"/>
                <w:szCs w:val="18"/>
              </w:rPr>
            </w:pPr>
            <w:r>
              <w:rPr>
                <w:sz w:val="18"/>
                <w:szCs w:val="18"/>
              </w:rPr>
              <w:t>0.953</w:t>
            </w:r>
          </w:p>
        </w:tc>
        <w:tc>
          <w:tcPr>
            <w:tcW w:w="825" w:type="dxa"/>
            <w:tcBorders>
              <w:top w:val="nil"/>
              <w:left w:val="nil"/>
              <w:bottom w:val="nil"/>
              <w:right w:val="nil"/>
            </w:tcBorders>
            <w:shd w:val="clear" w:color="auto" w:fill="auto"/>
            <w:tcMar>
              <w:top w:w="20" w:type="dxa"/>
              <w:left w:w="20" w:type="dxa"/>
              <w:bottom w:w="100" w:type="dxa"/>
              <w:right w:w="20" w:type="dxa"/>
            </w:tcMar>
            <w:vAlign w:val="center"/>
          </w:tcPr>
          <w:p w14:paraId="6C891A94" w14:textId="77777777" w:rsidR="00340A38" w:rsidRDefault="00000000">
            <w:pPr>
              <w:spacing w:after="0" w:line="240" w:lineRule="auto"/>
              <w:jc w:val="center"/>
              <w:rPr>
                <w:sz w:val="18"/>
                <w:szCs w:val="18"/>
              </w:rPr>
            </w:pPr>
            <w:r>
              <w:rPr>
                <w:sz w:val="18"/>
                <w:szCs w:val="18"/>
              </w:rPr>
              <w:t>0.073</w:t>
            </w:r>
          </w:p>
        </w:tc>
        <w:tc>
          <w:tcPr>
            <w:tcW w:w="1410" w:type="dxa"/>
            <w:tcBorders>
              <w:top w:val="nil"/>
              <w:left w:val="nil"/>
              <w:bottom w:val="nil"/>
              <w:right w:val="nil"/>
            </w:tcBorders>
            <w:shd w:val="clear" w:color="auto" w:fill="auto"/>
            <w:tcMar>
              <w:top w:w="20" w:type="dxa"/>
              <w:left w:w="20" w:type="dxa"/>
              <w:bottom w:w="100" w:type="dxa"/>
              <w:right w:w="20" w:type="dxa"/>
            </w:tcMar>
            <w:vAlign w:val="center"/>
          </w:tcPr>
          <w:p w14:paraId="62CD9FBE" w14:textId="77777777" w:rsidR="00340A38" w:rsidRDefault="00000000">
            <w:pPr>
              <w:spacing w:after="0" w:line="240" w:lineRule="auto"/>
              <w:jc w:val="center"/>
              <w:rPr>
                <w:sz w:val="18"/>
                <w:szCs w:val="18"/>
              </w:rPr>
            </w:pPr>
            <w:r>
              <w:rPr>
                <w:sz w:val="18"/>
                <w:szCs w:val="18"/>
              </w:rPr>
              <w:t>-0.0187</w:t>
            </w:r>
          </w:p>
        </w:tc>
        <w:tc>
          <w:tcPr>
            <w:tcW w:w="1095" w:type="dxa"/>
            <w:tcBorders>
              <w:top w:val="nil"/>
              <w:left w:val="nil"/>
              <w:bottom w:val="nil"/>
              <w:right w:val="nil"/>
            </w:tcBorders>
            <w:shd w:val="clear" w:color="auto" w:fill="auto"/>
            <w:tcMar>
              <w:top w:w="20" w:type="dxa"/>
              <w:left w:w="20" w:type="dxa"/>
              <w:bottom w:w="100" w:type="dxa"/>
              <w:right w:w="20" w:type="dxa"/>
            </w:tcMar>
            <w:vAlign w:val="center"/>
          </w:tcPr>
          <w:p w14:paraId="05761F28" w14:textId="77777777" w:rsidR="00340A38" w:rsidRDefault="00000000">
            <w:pPr>
              <w:spacing w:after="0" w:line="240" w:lineRule="auto"/>
              <w:jc w:val="center"/>
              <w:rPr>
                <w:sz w:val="18"/>
                <w:szCs w:val="18"/>
              </w:rPr>
            </w:pPr>
            <w:r>
              <w:rPr>
                <w:sz w:val="18"/>
                <w:szCs w:val="18"/>
              </w:rPr>
              <w:t>-9.477</w:t>
            </w:r>
          </w:p>
        </w:tc>
      </w:tr>
      <w:tr w:rsidR="00340A38" w14:paraId="57106086" w14:textId="77777777">
        <w:tc>
          <w:tcPr>
            <w:tcW w:w="1395" w:type="dxa"/>
            <w:tcBorders>
              <w:top w:val="nil"/>
              <w:left w:val="nil"/>
              <w:bottom w:val="nil"/>
              <w:right w:val="nil"/>
            </w:tcBorders>
            <w:shd w:val="clear" w:color="auto" w:fill="auto"/>
            <w:tcMar>
              <w:top w:w="20" w:type="dxa"/>
              <w:left w:w="20" w:type="dxa"/>
              <w:bottom w:w="100" w:type="dxa"/>
              <w:right w:w="20" w:type="dxa"/>
            </w:tcMar>
            <w:vAlign w:val="center"/>
          </w:tcPr>
          <w:p w14:paraId="58AE2AD6" w14:textId="77777777" w:rsidR="00340A38" w:rsidRDefault="00000000">
            <w:pPr>
              <w:spacing w:after="0" w:line="240" w:lineRule="auto"/>
              <w:jc w:val="center"/>
              <w:rPr>
                <w:sz w:val="18"/>
                <w:szCs w:val="18"/>
              </w:rPr>
            </w:pPr>
            <w:r>
              <w:rPr>
                <w:sz w:val="18"/>
                <w:szCs w:val="18"/>
              </w:rPr>
              <w:t>SIZE</w:t>
            </w:r>
          </w:p>
        </w:tc>
        <w:tc>
          <w:tcPr>
            <w:tcW w:w="915" w:type="dxa"/>
            <w:tcBorders>
              <w:top w:val="nil"/>
              <w:left w:val="nil"/>
              <w:bottom w:val="nil"/>
              <w:right w:val="nil"/>
            </w:tcBorders>
            <w:shd w:val="clear" w:color="auto" w:fill="auto"/>
            <w:tcMar>
              <w:top w:w="20" w:type="dxa"/>
              <w:left w:w="20" w:type="dxa"/>
              <w:bottom w:w="100" w:type="dxa"/>
              <w:right w:w="20" w:type="dxa"/>
            </w:tcMar>
            <w:vAlign w:val="center"/>
          </w:tcPr>
          <w:p w14:paraId="2CAE2A10" w14:textId="77777777" w:rsidR="00340A38" w:rsidRDefault="00000000">
            <w:pPr>
              <w:spacing w:after="0" w:line="240" w:lineRule="auto"/>
              <w:jc w:val="center"/>
              <w:rPr>
                <w:sz w:val="18"/>
                <w:szCs w:val="18"/>
              </w:rPr>
            </w:pPr>
            <w:r>
              <w:rPr>
                <w:sz w:val="18"/>
                <w:szCs w:val="18"/>
              </w:rPr>
              <w:t xml:space="preserve">  4,494</w:t>
            </w:r>
          </w:p>
        </w:tc>
        <w:tc>
          <w:tcPr>
            <w:tcW w:w="825" w:type="dxa"/>
            <w:tcBorders>
              <w:top w:val="nil"/>
              <w:left w:val="nil"/>
              <w:bottom w:val="nil"/>
              <w:right w:val="nil"/>
            </w:tcBorders>
            <w:shd w:val="clear" w:color="auto" w:fill="auto"/>
            <w:tcMar>
              <w:top w:w="20" w:type="dxa"/>
              <w:left w:w="20" w:type="dxa"/>
              <w:bottom w:w="100" w:type="dxa"/>
              <w:right w:w="20" w:type="dxa"/>
            </w:tcMar>
            <w:vAlign w:val="center"/>
          </w:tcPr>
          <w:p w14:paraId="309064E1" w14:textId="77777777" w:rsidR="00340A38" w:rsidRDefault="00000000">
            <w:pPr>
              <w:spacing w:after="0" w:line="240" w:lineRule="auto"/>
              <w:jc w:val="center"/>
              <w:rPr>
                <w:sz w:val="18"/>
                <w:szCs w:val="18"/>
              </w:rPr>
            </w:pPr>
            <w:r>
              <w:rPr>
                <w:sz w:val="18"/>
                <w:szCs w:val="18"/>
              </w:rPr>
              <w:t>9.630</w:t>
            </w:r>
          </w:p>
        </w:tc>
        <w:tc>
          <w:tcPr>
            <w:tcW w:w="945" w:type="dxa"/>
            <w:tcBorders>
              <w:top w:val="nil"/>
              <w:left w:val="nil"/>
              <w:bottom w:val="nil"/>
              <w:right w:val="nil"/>
            </w:tcBorders>
            <w:shd w:val="clear" w:color="auto" w:fill="auto"/>
            <w:tcMar>
              <w:top w:w="20" w:type="dxa"/>
              <w:left w:w="20" w:type="dxa"/>
              <w:bottom w:w="100" w:type="dxa"/>
              <w:right w:w="20" w:type="dxa"/>
            </w:tcMar>
            <w:vAlign w:val="center"/>
          </w:tcPr>
          <w:p w14:paraId="2E7AE701" w14:textId="77777777" w:rsidR="00340A38" w:rsidRDefault="00000000">
            <w:pPr>
              <w:spacing w:after="0" w:line="240" w:lineRule="auto"/>
              <w:jc w:val="center"/>
              <w:rPr>
                <w:sz w:val="18"/>
                <w:szCs w:val="18"/>
              </w:rPr>
            </w:pPr>
            <w:r>
              <w:rPr>
                <w:sz w:val="18"/>
                <w:szCs w:val="18"/>
              </w:rPr>
              <w:t>0.508</w:t>
            </w:r>
          </w:p>
        </w:tc>
        <w:tc>
          <w:tcPr>
            <w:tcW w:w="915" w:type="dxa"/>
            <w:tcBorders>
              <w:top w:val="nil"/>
              <w:left w:val="nil"/>
              <w:bottom w:val="nil"/>
              <w:right w:val="nil"/>
            </w:tcBorders>
            <w:shd w:val="clear" w:color="auto" w:fill="auto"/>
            <w:tcMar>
              <w:top w:w="20" w:type="dxa"/>
              <w:left w:w="20" w:type="dxa"/>
              <w:bottom w:w="100" w:type="dxa"/>
              <w:right w:w="20" w:type="dxa"/>
            </w:tcMar>
            <w:vAlign w:val="center"/>
          </w:tcPr>
          <w:p w14:paraId="3BFCCDFB" w14:textId="77777777" w:rsidR="00340A38" w:rsidRDefault="00000000">
            <w:pPr>
              <w:spacing w:after="0" w:line="240" w:lineRule="auto"/>
              <w:jc w:val="center"/>
              <w:rPr>
                <w:sz w:val="18"/>
                <w:szCs w:val="18"/>
              </w:rPr>
            </w:pPr>
            <w:r>
              <w:rPr>
                <w:sz w:val="18"/>
                <w:szCs w:val="18"/>
              </w:rPr>
              <w:t xml:space="preserve">  2,911</w:t>
            </w:r>
          </w:p>
        </w:tc>
        <w:tc>
          <w:tcPr>
            <w:tcW w:w="900" w:type="dxa"/>
            <w:tcBorders>
              <w:top w:val="nil"/>
              <w:left w:val="nil"/>
              <w:bottom w:val="nil"/>
              <w:right w:val="nil"/>
            </w:tcBorders>
            <w:shd w:val="clear" w:color="auto" w:fill="auto"/>
            <w:tcMar>
              <w:top w:w="20" w:type="dxa"/>
              <w:left w:w="20" w:type="dxa"/>
              <w:bottom w:w="100" w:type="dxa"/>
              <w:right w:w="20" w:type="dxa"/>
            </w:tcMar>
            <w:vAlign w:val="center"/>
          </w:tcPr>
          <w:p w14:paraId="6C76EDFF" w14:textId="77777777" w:rsidR="00340A38" w:rsidRDefault="00000000">
            <w:pPr>
              <w:spacing w:after="0" w:line="240" w:lineRule="auto"/>
              <w:jc w:val="center"/>
              <w:rPr>
                <w:sz w:val="18"/>
                <w:szCs w:val="18"/>
              </w:rPr>
            </w:pPr>
            <w:r>
              <w:rPr>
                <w:sz w:val="18"/>
                <w:szCs w:val="18"/>
              </w:rPr>
              <w:t>9.930</w:t>
            </w:r>
          </w:p>
        </w:tc>
        <w:tc>
          <w:tcPr>
            <w:tcW w:w="825" w:type="dxa"/>
            <w:tcBorders>
              <w:top w:val="nil"/>
              <w:left w:val="nil"/>
              <w:bottom w:val="nil"/>
              <w:right w:val="nil"/>
            </w:tcBorders>
            <w:shd w:val="clear" w:color="auto" w:fill="auto"/>
            <w:tcMar>
              <w:top w:w="20" w:type="dxa"/>
              <w:left w:w="20" w:type="dxa"/>
              <w:bottom w:w="100" w:type="dxa"/>
              <w:right w:w="20" w:type="dxa"/>
            </w:tcMar>
            <w:vAlign w:val="center"/>
          </w:tcPr>
          <w:p w14:paraId="29954B58" w14:textId="77777777" w:rsidR="00340A38" w:rsidRDefault="00000000">
            <w:pPr>
              <w:spacing w:after="0" w:line="240" w:lineRule="auto"/>
              <w:jc w:val="center"/>
              <w:rPr>
                <w:sz w:val="18"/>
                <w:szCs w:val="18"/>
              </w:rPr>
            </w:pPr>
            <w:r>
              <w:rPr>
                <w:sz w:val="18"/>
                <w:szCs w:val="18"/>
              </w:rPr>
              <w:t>0.583</w:t>
            </w:r>
          </w:p>
        </w:tc>
        <w:tc>
          <w:tcPr>
            <w:tcW w:w="1410" w:type="dxa"/>
            <w:tcBorders>
              <w:top w:val="nil"/>
              <w:left w:val="nil"/>
              <w:bottom w:val="nil"/>
              <w:right w:val="nil"/>
            </w:tcBorders>
            <w:shd w:val="clear" w:color="auto" w:fill="auto"/>
            <w:tcMar>
              <w:top w:w="20" w:type="dxa"/>
              <w:left w:w="20" w:type="dxa"/>
              <w:bottom w:w="100" w:type="dxa"/>
              <w:right w:w="20" w:type="dxa"/>
            </w:tcMar>
            <w:vAlign w:val="center"/>
          </w:tcPr>
          <w:p w14:paraId="5F78449C" w14:textId="77777777" w:rsidR="00340A38" w:rsidRDefault="00000000">
            <w:pPr>
              <w:spacing w:after="0" w:line="240" w:lineRule="auto"/>
              <w:jc w:val="center"/>
              <w:rPr>
                <w:sz w:val="18"/>
                <w:szCs w:val="18"/>
              </w:rPr>
            </w:pPr>
            <w:r>
              <w:rPr>
                <w:sz w:val="18"/>
                <w:szCs w:val="18"/>
              </w:rPr>
              <w:t>-0.2997</w:t>
            </w:r>
          </w:p>
        </w:tc>
        <w:tc>
          <w:tcPr>
            <w:tcW w:w="1095" w:type="dxa"/>
            <w:tcBorders>
              <w:top w:val="nil"/>
              <w:left w:val="nil"/>
              <w:bottom w:val="nil"/>
              <w:right w:val="nil"/>
            </w:tcBorders>
            <w:shd w:val="clear" w:color="auto" w:fill="auto"/>
            <w:tcMar>
              <w:top w:w="20" w:type="dxa"/>
              <w:left w:w="20" w:type="dxa"/>
              <w:bottom w:w="100" w:type="dxa"/>
              <w:right w:w="20" w:type="dxa"/>
            </w:tcMar>
            <w:vAlign w:val="center"/>
          </w:tcPr>
          <w:p w14:paraId="23ED061E" w14:textId="77777777" w:rsidR="00340A38" w:rsidRDefault="00000000">
            <w:pPr>
              <w:spacing w:after="0" w:line="240" w:lineRule="auto"/>
              <w:jc w:val="center"/>
              <w:rPr>
                <w:sz w:val="18"/>
                <w:szCs w:val="18"/>
              </w:rPr>
            </w:pPr>
            <w:r>
              <w:rPr>
                <w:sz w:val="18"/>
                <w:szCs w:val="18"/>
              </w:rPr>
              <w:t>-22.723</w:t>
            </w:r>
          </w:p>
        </w:tc>
      </w:tr>
      <w:tr w:rsidR="00340A38" w14:paraId="4BFB6CB9" w14:textId="77777777">
        <w:tc>
          <w:tcPr>
            <w:tcW w:w="1395" w:type="dxa"/>
            <w:tcBorders>
              <w:top w:val="nil"/>
              <w:left w:val="nil"/>
              <w:bottom w:val="nil"/>
              <w:right w:val="nil"/>
            </w:tcBorders>
            <w:shd w:val="clear" w:color="auto" w:fill="auto"/>
            <w:tcMar>
              <w:top w:w="20" w:type="dxa"/>
              <w:left w:w="20" w:type="dxa"/>
              <w:bottom w:w="100" w:type="dxa"/>
              <w:right w:w="20" w:type="dxa"/>
            </w:tcMar>
            <w:vAlign w:val="center"/>
          </w:tcPr>
          <w:p w14:paraId="2A53D44A" w14:textId="77777777" w:rsidR="00340A38" w:rsidRDefault="00000000">
            <w:pPr>
              <w:spacing w:after="0" w:line="240" w:lineRule="auto"/>
              <w:jc w:val="center"/>
              <w:rPr>
                <w:sz w:val="18"/>
                <w:szCs w:val="18"/>
              </w:rPr>
            </w:pPr>
            <w:r>
              <w:rPr>
                <w:sz w:val="18"/>
                <w:szCs w:val="18"/>
              </w:rPr>
              <w:t>ROA</w:t>
            </w:r>
          </w:p>
        </w:tc>
        <w:tc>
          <w:tcPr>
            <w:tcW w:w="915" w:type="dxa"/>
            <w:tcBorders>
              <w:top w:val="nil"/>
              <w:left w:val="nil"/>
              <w:bottom w:val="nil"/>
              <w:right w:val="nil"/>
            </w:tcBorders>
            <w:shd w:val="clear" w:color="auto" w:fill="auto"/>
            <w:tcMar>
              <w:top w:w="20" w:type="dxa"/>
              <w:left w:w="20" w:type="dxa"/>
              <w:bottom w:w="100" w:type="dxa"/>
              <w:right w:w="20" w:type="dxa"/>
            </w:tcMar>
            <w:vAlign w:val="center"/>
          </w:tcPr>
          <w:p w14:paraId="6D03EC07" w14:textId="77777777" w:rsidR="00340A38" w:rsidRDefault="00000000">
            <w:pPr>
              <w:spacing w:after="0" w:line="240" w:lineRule="auto"/>
              <w:jc w:val="center"/>
              <w:rPr>
                <w:sz w:val="18"/>
                <w:szCs w:val="18"/>
              </w:rPr>
            </w:pPr>
            <w:r>
              <w:rPr>
                <w:sz w:val="18"/>
                <w:szCs w:val="18"/>
              </w:rPr>
              <w:t xml:space="preserve">  4,494</w:t>
            </w:r>
          </w:p>
        </w:tc>
        <w:tc>
          <w:tcPr>
            <w:tcW w:w="825" w:type="dxa"/>
            <w:tcBorders>
              <w:top w:val="nil"/>
              <w:left w:val="nil"/>
              <w:bottom w:val="nil"/>
              <w:right w:val="nil"/>
            </w:tcBorders>
            <w:shd w:val="clear" w:color="auto" w:fill="auto"/>
            <w:tcMar>
              <w:top w:w="20" w:type="dxa"/>
              <w:left w:w="20" w:type="dxa"/>
              <w:bottom w:w="100" w:type="dxa"/>
              <w:right w:w="20" w:type="dxa"/>
            </w:tcMar>
            <w:vAlign w:val="center"/>
          </w:tcPr>
          <w:p w14:paraId="4A82BDE1" w14:textId="77777777" w:rsidR="00340A38" w:rsidRDefault="00000000">
            <w:pPr>
              <w:spacing w:after="0" w:line="240" w:lineRule="auto"/>
              <w:jc w:val="center"/>
              <w:rPr>
                <w:sz w:val="18"/>
                <w:szCs w:val="18"/>
              </w:rPr>
            </w:pPr>
            <w:r>
              <w:rPr>
                <w:sz w:val="18"/>
                <w:szCs w:val="18"/>
              </w:rPr>
              <w:t>4.328</w:t>
            </w:r>
          </w:p>
        </w:tc>
        <w:tc>
          <w:tcPr>
            <w:tcW w:w="945" w:type="dxa"/>
            <w:tcBorders>
              <w:top w:val="nil"/>
              <w:left w:val="nil"/>
              <w:bottom w:val="nil"/>
              <w:right w:val="nil"/>
            </w:tcBorders>
            <w:shd w:val="clear" w:color="auto" w:fill="auto"/>
            <w:tcMar>
              <w:top w:w="20" w:type="dxa"/>
              <w:left w:w="20" w:type="dxa"/>
              <w:bottom w:w="100" w:type="dxa"/>
              <w:right w:w="20" w:type="dxa"/>
            </w:tcMar>
            <w:vAlign w:val="center"/>
          </w:tcPr>
          <w:p w14:paraId="14BB4BD0" w14:textId="77777777" w:rsidR="00340A38" w:rsidRDefault="00000000">
            <w:pPr>
              <w:spacing w:after="0" w:line="240" w:lineRule="auto"/>
              <w:jc w:val="center"/>
              <w:rPr>
                <w:sz w:val="18"/>
                <w:szCs w:val="18"/>
              </w:rPr>
            </w:pPr>
            <w:r>
              <w:rPr>
                <w:sz w:val="18"/>
                <w:szCs w:val="18"/>
              </w:rPr>
              <w:t>16.967</w:t>
            </w:r>
          </w:p>
        </w:tc>
        <w:tc>
          <w:tcPr>
            <w:tcW w:w="915" w:type="dxa"/>
            <w:tcBorders>
              <w:top w:val="nil"/>
              <w:left w:val="nil"/>
              <w:bottom w:val="nil"/>
              <w:right w:val="nil"/>
            </w:tcBorders>
            <w:shd w:val="clear" w:color="auto" w:fill="auto"/>
            <w:tcMar>
              <w:top w:w="20" w:type="dxa"/>
              <w:left w:w="20" w:type="dxa"/>
              <w:bottom w:w="100" w:type="dxa"/>
              <w:right w:w="20" w:type="dxa"/>
            </w:tcMar>
            <w:vAlign w:val="center"/>
          </w:tcPr>
          <w:p w14:paraId="705833B1" w14:textId="77777777" w:rsidR="00340A38" w:rsidRDefault="00000000">
            <w:pPr>
              <w:spacing w:after="0" w:line="240" w:lineRule="auto"/>
              <w:jc w:val="center"/>
              <w:rPr>
                <w:sz w:val="18"/>
                <w:szCs w:val="18"/>
              </w:rPr>
            </w:pPr>
            <w:r>
              <w:rPr>
                <w:sz w:val="18"/>
                <w:szCs w:val="18"/>
              </w:rPr>
              <w:t xml:space="preserve">  2,911</w:t>
            </w:r>
          </w:p>
        </w:tc>
        <w:tc>
          <w:tcPr>
            <w:tcW w:w="900" w:type="dxa"/>
            <w:tcBorders>
              <w:top w:val="nil"/>
              <w:left w:val="nil"/>
              <w:bottom w:val="nil"/>
              <w:right w:val="nil"/>
            </w:tcBorders>
            <w:shd w:val="clear" w:color="auto" w:fill="auto"/>
            <w:tcMar>
              <w:top w:w="20" w:type="dxa"/>
              <w:left w:w="20" w:type="dxa"/>
              <w:bottom w:w="100" w:type="dxa"/>
              <w:right w:w="20" w:type="dxa"/>
            </w:tcMar>
            <w:vAlign w:val="center"/>
          </w:tcPr>
          <w:p w14:paraId="02C3F1EF" w14:textId="77777777" w:rsidR="00340A38" w:rsidRDefault="00000000">
            <w:pPr>
              <w:spacing w:after="0" w:line="240" w:lineRule="auto"/>
              <w:jc w:val="center"/>
              <w:rPr>
                <w:sz w:val="18"/>
                <w:szCs w:val="18"/>
              </w:rPr>
            </w:pPr>
            <w:r>
              <w:rPr>
                <w:sz w:val="18"/>
                <w:szCs w:val="18"/>
              </w:rPr>
              <w:t>3.374</w:t>
            </w:r>
          </w:p>
        </w:tc>
        <w:tc>
          <w:tcPr>
            <w:tcW w:w="825" w:type="dxa"/>
            <w:tcBorders>
              <w:top w:val="nil"/>
              <w:left w:val="nil"/>
              <w:bottom w:val="nil"/>
              <w:right w:val="nil"/>
            </w:tcBorders>
            <w:shd w:val="clear" w:color="auto" w:fill="auto"/>
            <w:tcMar>
              <w:top w:w="20" w:type="dxa"/>
              <w:left w:w="20" w:type="dxa"/>
              <w:bottom w:w="100" w:type="dxa"/>
              <w:right w:w="20" w:type="dxa"/>
            </w:tcMar>
            <w:vAlign w:val="center"/>
          </w:tcPr>
          <w:p w14:paraId="32250F34" w14:textId="77777777" w:rsidR="00340A38" w:rsidRDefault="00000000">
            <w:pPr>
              <w:spacing w:after="0" w:line="240" w:lineRule="auto"/>
              <w:jc w:val="center"/>
              <w:rPr>
                <w:sz w:val="18"/>
                <w:szCs w:val="18"/>
              </w:rPr>
            </w:pPr>
            <w:r>
              <w:rPr>
                <w:sz w:val="18"/>
                <w:szCs w:val="18"/>
              </w:rPr>
              <w:t>6.716</w:t>
            </w:r>
          </w:p>
        </w:tc>
        <w:tc>
          <w:tcPr>
            <w:tcW w:w="1410" w:type="dxa"/>
            <w:tcBorders>
              <w:top w:val="nil"/>
              <w:left w:val="nil"/>
              <w:bottom w:val="nil"/>
              <w:right w:val="nil"/>
            </w:tcBorders>
            <w:shd w:val="clear" w:color="auto" w:fill="auto"/>
            <w:tcMar>
              <w:top w:w="20" w:type="dxa"/>
              <w:left w:w="20" w:type="dxa"/>
              <w:bottom w:w="100" w:type="dxa"/>
              <w:right w:w="20" w:type="dxa"/>
            </w:tcMar>
            <w:vAlign w:val="center"/>
          </w:tcPr>
          <w:p w14:paraId="52C50C44" w14:textId="77777777" w:rsidR="00340A38" w:rsidRDefault="00000000">
            <w:pPr>
              <w:spacing w:after="0" w:line="240" w:lineRule="auto"/>
              <w:jc w:val="center"/>
              <w:rPr>
                <w:sz w:val="18"/>
                <w:szCs w:val="18"/>
              </w:rPr>
            </w:pPr>
            <w:r>
              <w:rPr>
                <w:sz w:val="18"/>
                <w:szCs w:val="18"/>
              </w:rPr>
              <w:t>0.9535</w:t>
            </w:r>
          </w:p>
        </w:tc>
        <w:tc>
          <w:tcPr>
            <w:tcW w:w="1095" w:type="dxa"/>
            <w:tcBorders>
              <w:top w:val="nil"/>
              <w:left w:val="nil"/>
              <w:bottom w:val="nil"/>
              <w:right w:val="nil"/>
            </w:tcBorders>
            <w:shd w:val="clear" w:color="auto" w:fill="auto"/>
            <w:tcMar>
              <w:top w:w="20" w:type="dxa"/>
              <w:left w:w="20" w:type="dxa"/>
              <w:bottom w:w="100" w:type="dxa"/>
              <w:right w:w="20" w:type="dxa"/>
            </w:tcMar>
            <w:vAlign w:val="center"/>
          </w:tcPr>
          <w:p w14:paraId="6C747D65" w14:textId="77777777" w:rsidR="00340A38" w:rsidRDefault="00000000">
            <w:pPr>
              <w:spacing w:after="0" w:line="240" w:lineRule="auto"/>
              <w:jc w:val="center"/>
              <w:rPr>
                <w:sz w:val="18"/>
                <w:szCs w:val="18"/>
              </w:rPr>
            </w:pPr>
            <w:r>
              <w:rPr>
                <w:sz w:val="18"/>
                <w:szCs w:val="18"/>
              </w:rPr>
              <w:t>3.38</w:t>
            </w:r>
          </w:p>
        </w:tc>
      </w:tr>
      <w:tr w:rsidR="00340A38" w14:paraId="7ABD7132" w14:textId="77777777">
        <w:tc>
          <w:tcPr>
            <w:tcW w:w="1395" w:type="dxa"/>
            <w:tcBorders>
              <w:top w:val="nil"/>
              <w:left w:val="nil"/>
              <w:bottom w:val="nil"/>
              <w:right w:val="nil"/>
            </w:tcBorders>
            <w:shd w:val="clear" w:color="auto" w:fill="auto"/>
            <w:tcMar>
              <w:top w:w="20" w:type="dxa"/>
              <w:left w:w="20" w:type="dxa"/>
              <w:bottom w:w="100" w:type="dxa"/>
              <w:right w:w="20" w:type="dxa"/>
            </w:tcMar>
            <w:vAlign w:val="center"/>
          </w:tcPr>
          <w:p w14:paraId="0786D7BE" w14:textId="77777777" w:rsidR="00340A38" w:rsidRDefault="00000000">
            <w:pPr>
              <w:spacing w:after="0" w:line="240" w:lineRule="auto"/>
              <w:jc w:val="center"/>
              <w:rPr>
                <w:sz w:val="18"/>
                <w:szCs w:val="18"/>
              </w:rPr>
            </w:pPr>
            <w:r>
              <w:rPr>
                <w:sz w:val="18"/>
                <w:szCs w:val="18"/>
              </w:rPr>
              <w:t>TANG</w:t>
            </w:r>
          </w:p>
        </w:tc>
        <w:tc>
          <w:tcPr>
            <w:tcW w:w="915" w:type="dxa"/>
            <w:tcBorders>
              <w:top w:val="nil"/>
              <w:left w:val="nil"/>
              <w:bottom w:val="nil"/>
              <w:right w:val="nil"/>
            </w:tcBorders>
            <w:shd w:val="clear" w:color="auto" w:fill="auto"/>
            <w:tcMar>
              <w:top w:w="20" w:type="dxa"/>
              <w:left w:w="20" w:type="dxa"/>
              <w:bottom w:w="100" w:type="dxa"/>
              <w:right w:w="20" w:type="dxa"/>
            </w:tcMar>
            <w:vAlign w:val="center"/>
          </w:tcPr>
          <w:p w14:paraId="5B0F4207" w14:textId="77777777" w:rsidR="00340A38" w:rsidRDefault="00000000">
            <w:pPr>
              <w:spacing w:after="0" w:line="240" w:lineRule="auto"/>
              <w:jc w:val="center"/>
              <w:rPr>
                <w:sz w:val="18"/>
                <w:szCs w:val="18"/>
              </w:rPr>
            </w:pPr>
            <w:r>
              <w:rPr>
                <w:sz w:val="18"/>
                <w:szCs w:val="18"/>
              </w:rPr>
              <w:t xml:space="preserve">  4,494</w:t>
            </w:r>
          </w:p>
        </w:tc>
        <w:tc>
          <w:tcPr>
            <w:tcW w:w="825" w:type="dxa"/>
            <w:tcBorders>
              <w:top w:val="nil"/>
              <w:left w:val="nil"/>
              <w:bottom w:val="nil"/>
              <w:right w:val="nil"/>
            </w:tcBorders>
            <w:shd w:val="clear" w:color="auto" w:fill="auto"/>
            <w:tcMar>
              <w:top w:w="20" w:type="dxa"/>
              <w:left w:w="20" w:type="dxa"/>
              <w:bottom w:w="100" w:type="dxa"/>
              <w:right w:w="20" w:type="dxa"/>
            </w:tcMar>
            <w:vAlign w:val="center"/>
          </w:tcPr>
          <w:p w14:paraId="7364F49C" w14:textId="77777777" w:rsidR="00340A38" w:rsidRDefault="00000000">
            <w:pPr>
              <w:spacing w:after="0" w:line="240" w:lineRule="auto"/>
              <w:jc w:val="center"/>
              <w:rPr>
                <w:sz w:val="18"/>
                <w:szCs w:val="18"/>
              </w:rPr>
            </w:pPr>
            <w:r>
              <w:rPr>
                <w:sz w:val="18"/>
                <w:szCs w:val="18"/>
              </w:rPr>
              <w:t>0.469</w:t>
            </w:r>
          </w:p>
        </w:tc>
        <w:tc>
          <w:tcPr>
            <w:tcW w:w="945" w:type="dxa"/>
            <w:tcBorders>
              <w:top w:val="nil"/>
              <w:left w:val="nil"/>
              <w:bottom w:val="nil"/>
              <w:right w:val="nil"/>
            </w:tcBorders>
            <w:shd w:val="clear" w:color="auto" w:fill="auto"/>
            <w:tcMar>
              <w:top w:w="20" w:type="dxa"/>
              <w:left w:w="20" w:type="dxa"/>
              <w:bottom w:w="100" w:type="dxa"/>
              <w:right w:w="20" w:type="dxa"/>
            </w:tcMar>
            <w:vAlign w:val="center"/>
          </w:tcPr>
          <w:p w14:paraId="0308FE5C" w14:textId="77777777" w:rsidR="00340A38" w:rsidRDefault="00000000">
            <w:pPr>
              <w:spacing w:after="0" w:line="240" w:lineRule="auto"/>
              <w:jc w:val="center"/>
              <w:rPr>
                <w:sz w:val="18"/>
                <w:szCs w:val="18"/>
              </w:rPr>
            </w:pPr>
            <w:r>
              <w:rPr>
                <w:sz w:val="18"/>
                <w:szCs w:val="18"/>
              </w:rPr>
              <w:t>0.306</w:t>
            </w:r>
          </w:p>
        </w:tc>
        <w:tc>
          <w:tcPr>
            <w:tcW w:w="915" w:type="dxa"/>
            <w:tcBorders>
              <w:top w:val="nil"/>
              <w:left w:val="nil"/>
              <w:bottom w:val="nil"/>
              <w:right w:val="nil"/>
            </w:tcBorders>
            <w:shd w:val="clear" w:color="auto" w:fill="auto"/>
            <w:tcMar>
              <w:top w:w="20" w:type="dxa"/>
              <w:left w:w="20" w:type="dxa"/>
              <w:bottom w:w="100" w:type="dxa"/>
              <w:right w:w="20" w:type="dxa"/>
            </w:tcMar>
            <w:vAlign w:val="center"/>
          </w:tcPr>
          <w:p w14:paraId="0B12C24D" w14:textId="77777777" w:rsidR="00340A38" w:rsidRDefault="00000000">
            <w:pPr>
              <w:spacing w:after="0" w:line="240" w:lineRule="auto"/>
              <w:jc w:val="center"/>
              <w:rPr>
                <w:sz w:val="18"/>
                <w:szCs w:val="18"/>
              </w:rPr>
            </w:pPr>
            <w:r>
              <w:rPr>
                <w:sz w:val="18"/>
                <w:szCs w:val="18"/>
              </w:rPr>
              <w:t xml:space="preserve">  2,911</w:t>
            </w:r>
          </w:p>
        </w:tc>
        <w:tc>
          <w:tcPr>
            <w:tcW w:w="900" w:type="dxa"/>
            <w:tcBorders>
              <w:top w:val="nil"/>
              <w:left w:val="nil"/>
              <w:bottom w:val="nil"/>
              <w:right w:val="nil"/>
            </w:tcBorders>
            <w:shd w:val="clear" w:color="auto" w:fill="auto"/>
            <w:tcMar>
              <w:top w:w="20" w:type="dxa"/>
              <w:left w:w="20" w:type="dxa"/>
              <w:bottom w:w="100" w:type="dxa"/>
              <w:right w:w="20" w:type="dxa"/>
            </w:tcMar>
            <w:vAlign w:val="center"/>
          </w:tcPr>
          <w:p w14:paraId="69B4C443" w14:textId="77777777" w:rsidR="00340A38" w:rsidRDefault="00000000">
            <w:pPr>
              <w:spacing w:after="0" w:line="240" w:lineRule="auto"/>
              <w:jc w:val="center"/>
              <w:rPr>
                <w:sz w:val="18"/>
                <w:szCs w:val="18"/>
              </w:rPr>
            </w:pPr>
            <w:r>
              <w:rPr>
                <w:sz w:val="18"/>
                <w:szCs w:val="18"/>
              </w:rPr>
              <w:t>0.380</w:t>
            </w:r>
          </w:p>
        </w:tc>
        <w:tc>
          <w:tcPr>
            <w:tcW w:w="825" w:type="dxa"/>
            <w:tcBorders>
              <w:top w:val="nil"/>
              <w:left w:val="nil"/>
              <w:bottom w:val="nil"/>
              <w:right w:val="nil"/>
            </w:tcBorders>
            <w:shd w:val="clear" w:color="auto" w:fill="auto"/>
            <w:tcMar>
              <w:top w:w="20" w:type="dxa"/>
              <w:left w:w="20" w:type="dxa"/>
              <w:bottom w:w="100" w:type="dxa"/>
              <w:right w:w="20" w:type="dxa"/>
            </w:tcMar>
            <w:vAlign w:val="center"/>
          </w:tcPr>
          <w:p w14:paraId="56DA2954" w14:textId="77777777" w:rsidR="00340A38" w:rsidRDefault="00000000">
            <w:pPr>
              <w:spacing w:after="0" w:line="240" w:lineRule="auto"/>
              <w:jc w:val="center"/>
              <w:rPr>
                <w:sz w:val="18"/>
                <w:szCs w:val="18"/>
              </w:rPr>
            </w:pPr>
            <w:r>
              <w:rPr>
                <w:sz w:val="18"/>
                <w:szCs w:val="18"/>
              </w:rPr>
              <w:t>0.227</w:t>
            </w:r>
          </w:p>
        </w:tc>
        <w:tc>
          <w:tcPr>
            <w:tcW w:w="1410" w:type="dxa"/>
            <w:tcBorders>
              <w:top w:val="nil"/>
              <w:left w:val="nil"/>
              <w:bottom w:val="nil"/>
              <w:right w:val="nil"/>
            </w:tcBorders>
            <w:shd w:val="clear" w:color="auto" w:fill="auto"/>
            <w:tcMar>
              <w:top w:w="20" w:type="dxa"/>
              <w:left w:w="20" w:type="dxa"/>
              <w:bottom w:w="100" w:type="dxa"/>
              <w:right w:w="20" w:type="dxa"/>
            </w:tcMar>
            <w:vAlign w:val="center"/>
          </w:tcPr>
          <w:p w14:paraId="0A7054C2" w14:textId="77777777" w:rsidR="00340A38" w:rsidRDefault="00000000">
            <w:pPr>
              <w:spacing w:after="0" w:line="240" w:lineRule="auto"/>
              <w:jc w:val="center"/>
              <w:rPr>
                <w:sz w:val="18"/>
                <w:szCs w:val="18"/>
              </w:rPr>
            </w:pPr>
            <w:r>
              <w:rPr>
                <w:sz w:val="18"/>
                <w:szCs w:val="18"/>
              </w:rPr>
              <w:t>0.088</w:t>
            </w:r>
          </w:p>
        </w:tc>
        <w:tc>
          <w:tcPr>
            <w:tcW w:w="1095" w:type="dxa"/>
            <w:tcBorders>
              <w:top w:val="nil"/>
              <w:left w:val="nil"/>
              <w:bottom w:val="nil"/>
              <w:right w:val="nil"/>
            </w:tcBorders>
            <w:shd w:val="clear" w:color="auto" w:fill="auto"/>
            <w:tcMar>
              <w:top w:w="20" w:type="dxa"/>
              <w:left w:w="20" w:type="dxa"/>
              <w:bottom w:w="100" w:type="dxa"/>
              <w:right w:w="20" w:type="dxa"/>
            </w:tcMar>
            <w:vAlign w:val="center"/>
          </w:tcPr>
          <w:p w14:paraId="127056C5" w14:textId="77777777" w:rsidR="00340A38" w:rsidRDefault="00000000">
            <w:pPr>
              <w:spacing w:after="0" w:line="240" w:lineRule="auto"/>
              <w:jc w:val="center"/>
              <w:rPr>
                <w:sz w:val="18"/>
                <w:szCs w:val="18"/>
              </w:rPr>
            </w:pPr>
            <w:r>
              <w:rPr>
                <w:sz w:val="18"/>
                <w:szCs w:val="18"/>
              </w:rPr>
              <w:t>14.177</w:t>
            </w:r>
          </w:p>
        </w:tc>
      </w:tr>
    </w:tbl>
    <w:p w14:paraId="50AC7CC1" w14:textId="77777777" w:rsidR="00340A38" w:rsidRDefault="00340A38">
      <w:pPr>
        <w:spacing w:after="0"/>
        <w:rPr>
          <w:b/>
          <w:sz w:val="18"/>
          <w:szCs w:val="18"/>
        </w:rPr>
      </w:pPr>
    </w:p>
    <w:p w14:paraId="043AE00B" w14:textId="77777777" w:rsidR="00340A38" w:rsidRDefault="00000000">
      <w:pPr>
        <w:spacing w:after="0"/>
        <w:rPr>
          <w:b/>
          <w:sz w:val="18"/>
          <w:szCs w:val="18"/>
        </w:rPr>
      </w:pPr>
      <w:r>
        <w:rPr>
          <w:b/>
          <w:sz w:val="18"/>
          <w:szCs w:val="18"/>
        </w:rPr>
        <w:t>Panel B</w:t>
      </w:r>
    </w:p>
    <w:tbl>
      <w:tblPr>
        <w:tblStyle w:val="ad"/>
        <w:tblW w:w="9359" w:type="dxa"/>
        <w:tblBorders>
          <w:top w:val="nil"/>
          <w:left w:val="nil"/>
          <w:bottom w:val="nil"/>
          <w:right w:val="nil"/>
          <w:insideH w:val="nil"/>
          <w:insideV w:val="nil"/>
        </w:tblBorders>
        <w:tblLayout w:type="fixed"/>
        <w:tblLook w:val="0600" w:firstRow="0" w:lastRow="0" w:firstColumn="0" w:lastColumn="0" w:noHBand="1" w:noVBand="1"/>
      </w:tblPr>
      <w:tblGrid>
        <w:gridCol w:w="1623"/>
        <w:gridCol w:w="1934"/>
        <w:gridCol w:w="1934"/>
        <w:gridCol w:w="1934"/>
        <w:gridCol w:w="1934"/>
      </w:tblGrid>
      <w:tr w:rsidR="00340A38" w14:paraId="35710C46" w14:textId="77777777">
        <w:trPr>
          <w:trHeight w:val="285"/>
        </w:trPr>
        <w:tc>
          <w:tcPr>
            <w:tcW w:w="1622" w:type="dxa"/>
            <w:tcBorders>
              <w:top w:val="single" w:sz="6" w:space="0" w:color="000000"/>
              <w:left w:val="nil"/>
              <w:right w:val="nil"/>
            </w:tcBorders>
            <w:tcMar>
              <w:top w:w="0" w:type="dxa"/>
              <w:left w:w="100" w:type="dxa"/>
              <w:bottom w:w="0" w:type="dxa"/>
              <w:right w:w="100" w:type="dxa"/>
            </w:tcMar>
          </w:tcPr>
          <w:p w14:paraId="61B1B6FF" w14:textId="77777777" w:rsidR="00340A38" w:rsidRDefault="00340A38">
            <w:pPr>
              <w:spacing w:after="0" w:line="240" w:lineRule="auto"/>
              <w:rPr>
                <w:sz w:val="18"/>
                <w:szCs w:val="18"/>
              </w:rPr>
            </w:pPr>
          </w:p>
        </w:tc>
        <w:tc>
          <w:tcPr>
            <w:tcW w:w="3868" w:type="dxa"/>
            <w:gridSpan w:val="2"/>
            <w:tcBorders>
              <w:top w:val="single" w:sz="6" w:space="0" w:color="000000"/>
              <w:left w:val="nil"/>
              <w:right w:val="nil"/>
            </w:tcBorders>
            <w:tcMar>
              <w:top w:w="0" w:type="dxa"/>
              <w:left w:w="100" w:type="dxa"/>
              <w:bottom w:w="0" w:type="dxa"/>
              <w:right w:w="100" w:type="dxa"/>
            </w:tcMar>
          </w:tcPr>
          <w:p w14:paraId="79C64CE5" w14:textId="77777777" w:rsidR="00340A38" w:rsidRDefault="00000000">
            <w:pPr>
              <w:spacing w:after="0" w:line="240" w:lineRule="auto"/>
              <w:jc w:val="center"/>
              <w:rPr>
                <w:sz w:val="18"/>
                <w:szCs w:val="18"/>
              </w:rPr>
            </w:pPr>
            <w:r>
              <w:rPr>
                <w:sz w:val="18"/>
                <w:szCs w:val="18"/>
              </w:rPr>
              <w:t>Non-SOEs</w:t>
            </w:r>
          </w:p>
        </w:tc>
        <w:tc>
          <w:tcPr>
            <w:tcW w:w="3868" w:type="dxa"/>
            <w:gridSpan w:val="2"/>
            <w:tcBorders>
              <w:top w:val="single" w:sz="6" w:space="0" w:color="000000"/>
              <w:left w:val="nil"/>
              <w:right w:val="nil"/>
            </w:tcBorders>
            <w:tcMar>
              <w:top w:w="0" w:type="dxa"/>
              <w:left w:w="100" w:type="dxa"/>
              <w:bottom w:w="0" w:type="dxa"/>
              <w:right w:w="100" w:type="dxa"/>
            </w:tcMar>
          </w:tcPr>
          <w:p w14:paraId="4780DB7C" w14:textId="77777777" w:rsidR="00340A38" w:rsidRDefault="00000000">
            <w:pPr>
              <w:spacing w:after="0" w:line="240" w:lineRule="auto"/>
              <w:jc w:val="center"/>
              <w:rPr>
                <w:sz w:val="18"/>
                <w:szCs w:val="18"/>
              </w:rPr>
            </w:pPr>
            <w:r>
              <w:rPr>
                <w:sz w:val="18"/>
                <w:szCs w:val="18"/>
              </w:rPr>
              <w:t>SOEs</w:t>
            </w:r>
          </w:p>
        </w:tc>
      </w:tr>
      <w:tr w:rsidR="00340A38" w14:paraId="4CA36112" w14:textId="77777777">
        <w:trPr>
          <w:trHeight w:val="285"/>
        </w:trPr>
        <w:tc>
          <w:tcPr>
            <w:tcW w:w="1622" w:type="dxa"/>
            <w:tcBorders>
              <w:top w:val="nil"/>
              <w:left w:val="nil"/>
              <w:bottom w:val="nil"/>
              <w:right w:val="nil"/>
            </w:tcBorders>
            <w:tcMar>
              <w:top w:w="0" w:type="dxa"/>
              <w:left w:w="100" w:type="dxa"/>
              <w:bottom w:w="0" w:type="dxa"/>
              <w:right w:w="100" w:type="dxa"/>
            </w:tcMar>
          </w:tcPr>
          <w:p w14:paraId="4CF0A64E" w14:textId="77777777" w:rsidR="00340A38" w:rsidRDefault="00000000">
            <w:pPr>
              <w:spacing w:after="0" w:line="240" w:lineRule="auto"/>
              <w:rPr>
                <w:sz w:val="18"/>
                <w:szCs w:val="18"/>
              </w:rPr>
            </w:pPr>
            <w:r>
              <w:rPr>
                <w:sz w:val="18"/>
                <w:szCs w:val="18"/>
              </w:rPr>
              <w:t xml:space="preserve"> </w:t>
            </w:r>
          </w:p>
        </w:tc>
        <w:tc>
          <w:tcPr>
            <w:tcW w:w="1934" w:type="dxa"/>
            <w:tcBorders>
              <w:top w:val="nil"/>
              <w:left w:val="nil"/>
              <w:bottom w:val="nil"/>
              <w:right w:val="nil"/>
            </w:tcBorders>
            <w:tcMar>
              <w:top w:w="0" w:type="dxa"/>
              <w:left w:w="100" w:type="dxa"/>
              <w:bottom w:w="0" w:type="dxa"/>
              <w:right w:w="100" w:type="dxa"/>
            </w:tcMar>
          </w:tcPr>
          <w:p w14:paraId="4728E61D" w14:textId="77777777" w:rsidR="00340A38" w:rsidRDefault="00000000">
            <w:pPr>
              <w:spacing w:after="0" w:line="240" w:lineRule="auto"/>
              <w:rPr>
                <w:sz w:val="18"/>
                <w:szCs w:val="18"/>
              </w:rPr>
            </w:pPr>
            <w:proofErr w:type="gramStart"/>
            <w:r>
              <w:rPr>
                <w:sz w:val="18"/>
                <w:szCs w:val="18"/>
              </w:rPr>
              <w:t>LEV(</w:t>
            </w:r>
            <w:proofErr w:type="gramEnd"/>
            <w:r>
              <w:rPr>
                <w:sz w:val="18"/>
                <w:szCs w:val="18"/>
              </w:rPr>
              <w:t>11)</w:t>
            </w:r>
          </w:p>
        </w:tc>
        <w:tc>
          <w:tcPr>
            <w:tcW w:w="1934" w:type="dxa"/>
            <w:tcBorders>
              <w:top w:val="nil"/>
              <w:left w:val="nil"/>
              <w:bottom w:val="nil"/>
              <w:right w:val="nil"/>
            </w:tcBorders>
            <w:tcMar>
              <w:top w:w="0" w:type="dxa"/>
              <w:left w:w="100" w:type="dxa"/>
              <w:bottom w:w="0" w:type="dxa"/>
              <w:right w:w="100" w:type="dxa"/>
            </w:tcMar>
          </w:tcPr>
          <w:p w14:paraId="0710AFF8" w14:textId="77777777" w:rsidR="00340A38" w:rsidRDefault="00000000">
            <w:pPr>
              <w:spacing w:after="0" w:line="240" w:lineRule="auto"/>
              <w:rPr>
                <w:sz w:val="18"/>
                <w:szCs w:val="18"/>
              </w:rPr>
            </w:pPr>
            <w:proofErr w:type="gramStart"/>
            <w:r>
              <w:rPr>
                <w:sz w:val="18"/>
                <w:szCs w:val="18"/>
              </w:rPr>
              <w:t>LEV(</w:t>
            </w:r>
            <w:proofErr w:type="gramEnd"/>
            <w:r>
              <w:rPr>
                <w:sz w:val="18"/>
                <w:szCs w:val="18"/>
              </w:rPr>
              <w:t>12)</w:t>
            </w:r>
          </w:p>
        </w:tc>
        <w:tc>
          <w:tcPr>
            <w:tcW w:w="1934" w:type="dxa"/>
            <w:tcBorders>
              <w:top w:val="nil"/>
              <w:left w:val="nil"/>
              <w:bottom w:val="nil"/>
              <w:right w:val="nil"/>
            </w:tcBorders>
            <w:tcMar>
              <w:top w:w="0" w:type="dxa"/>
              <w:left w:w="100" w:type="dxa"/>
              <w:bottom w:w="0" w:type="dxa"/>
              <w:right w:w="100" w:type="dxa"/>
            </w:tcMar>
          </w:tcPr>
          <w:p w14:paraId="263B70DF" w14:textId="77777777" w:rsidR="00340A38" w:rsidRDefault="00000000">
            <w:pPr>
              <w:spacing w:after="0" w:line="240" w:lineRule="auto"/>
              <w:rPr>
                <w:sz w:val="18"/>
                <w:szCs w:val="18"/>
              </w:rPr>
            </w:pPr>
            <w:proofErr w:type="gramStart"/>
            <w:r>
              <w:rPr>
                <w:sz w:val="18"/>
                <w:szCs w:val="18"/>
              </w:rPr>
              <w:t>LEV(</w:t>
            </w:r>
            <w:proofErr w:type="gramEnd"/>
            <w:r>
              <w:rPr>
                <w:sz w:val="18"/>
                <w:szCs w:val="18"/>
              </w:rPr>
              <w:t>13)</w:t>
            </w:r>
          </w:p>
        </w:tc>
        <w:tc>
          <w:tcPr>
            <w:tcW w:w="1934" w:type="dxa"/>
            <w:tcBorders>
              <w:top w:val="nil"/>
              <w:left w:val="nil"/>
              <w:bottom w:val="nil"/>
              <w:right w:val="nil"/>
            </w:tcBorders>
            <w:tcMar>
              <w:top w:w="0" w:type="dxa"/>
              <w:left w:w="100" w:type="dxa"/>
              <w:bottom w:w="0" w:type="dxa"/>
              <w:right w:w="100" w:type="dxa"/>
            </w:tcMar>
          </w:tcPr>
          <w:p w14:paraId="5165E231" w14:textId="77777777" w:rsidR="00340A38" w:rsidRDefault="00000000">
            <w:pPr>
              <w:spacing w:after="0" w:line="240" w:lineRule="auto"/>
              <w:rPr>
                <w:sz w:val="18"/>
                <w:szCs w:val="18"/>
              </w:rPr>
            </w:pPr>
            <w:proofErr w:type="gramStart"/>
            <w:r>
              <w:rPr>
                <w:sz w:val="18"/>
                <w:szCs w:val="18"/>
              </w:rPr>
              <w:t>LEV(</w:t>
            </w:r>
            <w:proofErr w:type="gramEnd"/>
            <w:r>
              <w:rPr>
                <w:sz w:val="18"/>
                <w:szCs w:val="18"/>
              </w:rPr>
              <w:t>14)</w:t>
            </w:r>
          </w:p>
        </w:tc>
      </w:tr>
      <w:tr w:rsidR="00340A38" w14:paraId="529D576F" w14:textId="77777777">
        <w:trPr>
          <w:trHeight w:val="240"/>
        </w:trPr>
        <w:tc>
          <w:tcPr>
            <w:tcW w:w="1622" w:type="dxa"/>
            <w:tcBorders>
              <w:top w:val="single" w:sz="6" w:space="0" w:color="000000"/>
              <w:left w:val="nil"/>
              <w:bottom w:val="nil"/>
              <w:right w:val="nil"/>
            </w:tcBorders>
            <w:tcMar>
              <w:top w:w="0" w:type="dxa"/>
              <w:left w:w="100" w:type="dxa"/>
              <w:bottom w:w="0" w:type="dxa"/>
              <w:right w:w="100" w:type="dxa"/>
            </w:tcMar>
          </w:tcPr>
          <w:p w14:paraId="32CFBF44" w14:textId="77777777" w:rsidR="00340A38" w:rsidRDefault="00000000">
            <w:pPr>
              <w:spacing w:after="0" w:line="240" w:lineRule="auto"/>
              <w:rPr>
                <w:sz w:val="18"/>
                <w:szCs w:val="18"/>
              </w:rPr>
            </w:pPr>
            <w:r>
              <w:rPr>
                <w:sz w:val="18"/>
                <w:szCs w:val="18"/>
              </w:rPr>
              <w:t>CEO2</w:t>
            </w:r>
          </w:p>
        </w:tc>
        <w:tc>
          <w:tcPr>
            <w:tcW w:w="1934" w:type="dxa"/>
            <w:tcBorders>
              <w:top w:val="single" w:sz="6" w:space="0" w:color="000000"/>
              <w:left w:val="nil"/>
              <w:bottom w:val="nil"/>
              <w:right w:val="nil"/>
            </w:tcBorders>
            <w:tcMar>
              <w:top w:w="0" w:type="dxa"/>
              <w:left w:w="100" w:type="dxa"/>
              <w:bottom w:w="0" w:type="dxa"/>
              <w:right w:w="100" w:type="dxa"/>
            </w:tcMar>
          </w:tcPr>
          <w:p w14:paraId="66E9515E" w14:textId="77777777" w:rsidR="00340A38" w:rsidRDefault="00000000">
            <w:pPr>
              <w:spacing w:after="0" w:line="240" w:lineRule="auto"/>
              <w:rPr>
                <w:sz w:val="18"/>
                <w:szCs w:val="18"/>
                <w:vertAlign w:val="superscript"/>
              </w:rPr>
            </w:pPr>
            <w:r>
              <w:rPr>
                <w:sz w:val="18"/>
                <w:szCs w:val="18"/>
              </w:rPr>
              <w:t>0.0080832</w:t>
            </w:r>
            <w:r>
              <w:rPr>
                <w:sz w:val="18"/>
                <w:szCs w:val="18"/>
                <w:vertAlign w:val="superscript"/>
              </w:rPr>
              <w:t>***</w:t>
            </w:r>
          </w:p>
        </w:tc>
        <w:tc>
          <w:tcPr>
            <w:tcW w:w="1934" w:type="dxa"/>
            <w:tcBorders>
              <w:top w:val="single" w:sz="6" w:space="0" w:color="000000"/>
              <w:left w:val="nil"/>
              <w:bottom w:val="nil"/>
              <w:right w:val="nil"/>
            </w:tcBorders>
            <w:tcMar>
              <w:top w:w="0" w:type="dxa"/>
              <w:left w:w="100" w:type="dxa"/>
              <w:bottom w:w="0" w:type="dxa"/>
              <w:right w:w="100" w:type="dxa"/>
            </w:tcMar>
          </w:tcPr>
          <w:p w14:paraId="1FE36FCC" w14:textId="77777777" w:rsidR="00340A38" w:rsidRDefault="00000000">
            <w:pPr>
              <w:spacing w:after="0" w:line="240" w:lineRule="auto"/>
              <w:rPr>
                <w:sz w:val="18"/>
                <w:szCs w:val="18"/>
              </w:rPr>
            </w:pPr>
            <w:r>
              <w:rPr>
                <w:sz w:val="18"/>
                <w:szCs w:val="18"/>
              </w:rPr>
              <w:t>0.0055095</w:t>
            </w:r>
            <w:r>
              <w:rPr>
                <w:sz w:val="18"/>
                <w:szCs w:val="18"/>
                <w:vertAlign w:val="superscript"/>
              </w:rPr>
              <w:t>***</w:t>
            </w:r>
          </w:p>
        </w:tc>
        <w:tc>
          <w:tcPr>
            <w:tcW w:w="1934" w:type="dxa"/>
            <w:tcBorders>
              <w:top w:val="single" w:sz="6" w:space="0" w:color="000000"/>
              <w:left w:val="nil"/>
              <w:bottom w:val="nil"/>
              <w:right w:val="nil"/>
            </w:tcBorders>
            <w:tcMar>
              <w:top w:w="0" w:type="dxa"/>
              <w:left w:w="100" w:type="dxa"/>
              <w:bottom w:w="0" w:type="dxa"/>
              <w:right w:w="100" w:type="dxa"/>
            </w:tcMar>
          </w:tcPr>
          <w:p w14:paraId="7344A71E" w14:textId="77777777" w:rsidR="00340A38" w:rsidRDefault="00000000">
            <w:pPr>
              <w:spacing w:after="0" w:line="240" w:lineRule="auto"/>
              <w:rPr>
                <w:sz w:val="18"/>
                <w:szCs w:val="18"/>
                <w:vertAlign w:val="superscript"/>
              </w:rPr>
            </w:pPr>
            <w:r>
              <w:rPr>
                <w:sz w:val="18"/>
                <w:szCs w:val="18"/>
              </w:rPr>
              <w:t>0.0049055</w:t>
            </w:r>
            <w:r>
              <w:rPr>
                <w:sz w:val="18"/>
                <w:szCs w:val="18"/>
                <w:vertAlign w:val="superscript"/>
              </w:rPr>
              <w:t>***</w:t>
            </w:r>
          </w:p>
        </w:tc>
        <w:tc>
          <w:tcPr>
            <w:tcW w:w="1934" w:type="dxa"/>
            <w:tcBorders>
              <w:top w:val="single" w:sz="6" w:space="0" w:color="000000"/>
              <w:left w:val="nil"/>
              <w:bottom w:val="nil"/>
              <w:right w:val="nil"/>
            </w:tcBorders>
            <w:tcMar>
              <w:top w:w="0" w:type="dxa"/>
              <w:left w:w="100" w:type="dxa"/>
              <w:bottom w:w="0" w:type="dxa"/>
              <w:right w:w="100" w:type="dxa"/>
            </w:tcMar>
          </w:tcPr>
          <w:p w14:paraId="2BCC2B14" w14:textId="77777777" w:rsidR="00340A38" w:rsidRDefault="00000000">
            <w:pPr>
              <w:spacing w:after="0" w:line="240" w:lineRule="auto"/>
              <w:rPr>
                <w:sz w:val="18"/>
                <w:szCs w:val="18"/>
              </w:rPr>
            </w:pPr>
            <w:r>
              <w:rPr>
                <w:sz w:val="18"/>
                <w:szCs w:val="18"/>
              </w:rPr>
              <w:t>0.0018087</w:t>
            </w:r>
          </w:p>
        </w:tc>
      </w:tr>
      <w:tr w:rsidR="00340A38" w14:paraId="7CC5BFBD" w14:textId="77777777">
        <w:trPr>
          <w:trHeight w:val="285"/>
        </w:trPr>
        <w:tc>
          <w:tcPr>
            <w:tcW w:w="1622" w:type="dxa"/>
            <w:tcBorders>
              <w:top w:val="nil"/>
              <w:left w:val="nil"/>
              <w:bottom w:val="nil"/>
              <w:right w:val="nil"/>
            </w:tcBorders>
            <w:tcMar>
              <w:top w:w="0" w:type="dxa"/>
              <w:left w:w="100" w:type="dxa"/>
              <w:bottom w:w="0" w:type="dxa"/>
              <w:right w:w="100" w:type="dxa"/>
            </w:tcMar>
          </w:tcPr>
          <w:p w14:paraId="79302DDD" w14:textId="77777777" w:rsidR="00340A38" w:rsidRDefault="00000000">
            <w:pPr>
              <w:spacing w:after="0" w:line="240" w:lineRule="auto"/>
              <w:rPr>
                <w:sz w:val="18"/>
                <w:szCs w:val="18"/>
              </w:rPr>
            </w:pPr>
            <w:r>
              <w:rPr>
                <w:sz w:val="18"/>
                <w:szCs w:val="18"/>
              </w:rPr>
              <w:t xml:space="preserve"> </w:t>
            </w:r>
          </w:p>
        </w:tc>
        <w:tc>
          <w:tcPr>
            <w:tcW w:w="1934" w:type="dxa"/>
            <w:tcBorders>
              <w:top w:val="nil"/>
              <w:left w:val="nil"/>
              <w:bottom w:val="nil"/>
              <w:right w:val="nil"/>
            </w:tcBorders>
            <w:tcMar>
              <w:top w:w="0" w:type="dxa"/>
              <w:left w:w="100" w:type="dxa"/>
              <w:bottom w:w="0" w:type="dxa"/>
              <w:right w:w="100" w:type="dxa"/>
            </w:tcMar>
          </w:tcPr>
          <w:p w14:paraId="485C70BE" w14:textId="77777777" w:rsidR="00340A38" w:rsidRDefault="00000000">
            <w:pPr>
              <w:spacing w:after="0" w:line="240" w:lineRule="auto"/>
              <w:rPr>
                <w:sz w:val="18"/>
                <w:szCs w:val="18"/>
              </w:rPr>
            </w:pPr>
            <w:r>
              <w:rPr>
                <w:sz w:val="18"/>
                <w:szCs w:val="18"/>
              </w:rPr>
              <w:t>(5.39)</w:t>
            </w:r>
          </w:p>
        </w:tc>
        <w:tc>
          <w:tcPr>
            <w:tcW w:w="1934" w:type="dxa"/>
            <w:tcBorders>
              <w:top w:val="nil"/>
              <w:left w:val="nil"/>
              <w:bottom w:val="nil"/>
              <w:right w:val="nil"/>
            </w:tcBorders>
            <w:tcMar>
              <w:top w:w="0" w:type="dxa"/>
              <w:left w:w="100" w:type="dxa"/>
              <w:bottom w:w="0" w:type="dxa"/>
              <w:right w:w="100" w:type="dxa"/>
            </w:tcMar>
          </w:tcPr>
          <w:p w14:paraId="1D5E13CC" w14:textId="77777777" w:rsidR="00340A38" w:rsidRDefault="00000000">
            <w:pPr>
              <w:spacing w:after="0" w:line="240" w:lineRule="auto"/>
              <w:rPr>
                <w:sz w:val="18"/>
                <w:szCs w:val="18"/>
              </w:rPr>
            </w:pPr>
            <w:r>
              <w:rPr>
                <w:sz w:val="18"/>
                <w:szCs w:val="18"/>
              </w:rPr>
              <w:t>(3.37)</w:t>
            </w:r>
          </w:p>
        </w:tc>
        <w:tc>
          <w:tcPr>
            <w:tcW w:w="1934" w:type="dxa"/>
            <w:tcBorders>
              <w:top w:val="nil"/>
              <w:left w:val="nil"/>
              <w:bottom w:val="nil"/>
              <w:right w:val="nil"/>
            </w:tcBorders>
            <w:tcMar>
              <w:top w:w="0" w:type="dxa"/>
              <w:left w:w="100" w:type="dxa"/>
              <w:bottom w:w="0" w:type="dxa"/>
              <w:right w:w="100" w:type="dxa"/>
            </w:tcMar>
          </w:tcPr>
          <w:p w14:paraId="3D2A4CBB" w14:textId="77777777" w:rsidR="00340A38" w:rsidRDefault="00000000">
            <w:pPr>
              <w:spacing w:after="0" w:line="240" w:lineRule="auto"/>
              <w:rPr>
                <w:sz w:val="18"/>
                <w:szCs w:val="18"/>
              </w:rPr>
            </w:pPr>
            <w:r>
              <w:rPr>
                <w:sz w:val="18"/>
                <w:szCs w:val="18"/>
              </w:rPr>
              <w:t>(2.69)</w:t>
            </w:r>
          </w:p>
        </w:tc>
        <w:tc>
          <w:tcPr>
            <w:tcW w:w="1934" w:type="dxa"/>
            <w:tcBorders>
              <w:top w:val="nil"/>
              <w:left w:val="nil"/>
              <w:bottom w:val="nil"/>
              <w:right w:val="nil"/>
            </w:tcBorders>
            <w:tcMar>
              <w:top w:w="0" w:type="dxa"/>
              <w:left w:w="100" w:type="dxa"/>
              <w:bottom w:w="0" w:type="dxa"/>
              <w:right w:w="100" w:type="dxa"/>
            </w:tcMar>
          </w:tcPr>
          <w:p w14:paraId="1ACE70B0" w14:textId="77777777" w:rsidR="00340A38" w:rsidRDefault="00000000">
            <w:pPr>
              <w:spacing w:after="0" w:line="240" w:lineRule="auto"/>
              <w:rPr>
                <w:sz w:val="18"/>
                <w:szCs w:val="18"/>
              </w:rPr>
            </w:pPr>
            <w:r>
              <w:rPr>
                <w:sz w:val="18"/>
                <w:szCs w:val="18"/>
              </w:rPr>
              <w:t>(1.25)</w:t>
            </w:r>
          </w:p>
        </w:tc>
      </w:tr>
      <w:tr w:rsidR="00340A38" w14:paraId="7FA34D65" w14:textId="77777777">
        <w:trPr>
          <w:trHeight w:val="285"/>
        </w:trPr>
        <w:tc>
          <w:tcPr>
            <w:tcW w:w="1622" w:type="dxa"/>
            <w:tcBorders>
              <w:top w:val="nil"/>
              <w:left w:val="nil"/>
              <w:bottom w:val="nil"/>
              <w:right w:val="nil"/>
            </w:tcBorders>
            <w:tcMar>
              <w:top w:w="0" w:type="dxa"/>
              <w:left w:w="100" w:type="dxa"/>
              <w:bottom w:w="0" w:type="dxa"/>
              <w:right w:w="100" w:type="dxa"/>
            </w:tcMar>
          </w:tcPr>
          <w:p w14:paraId="4959B184" w14:textId="77777777" w:rsidR="00340A38" w:rsidRDefault="00000000">
            <w:pPr>
              <w:spacing w:after="0" w:line="240" w:lineRule="auto"/>
              <w:rPr>
                <w:sz w:val="18"/>
                <w:szCs w:val="18"/>
              </w:rPr>
            </w:pPr>
            <w:r>
              <w:rPr>
                <w:sz w:val="18"/>
                <w:szCs w:val="18"/>
              </w:rPr>
              <w:t>BOD1</w:t>
            </w:r>
          </w:p>
        </w:tc>
        <w:tc>
          <w:tcPr>
            <w:tcW w:w="1934" w:type="dxa"/>
            <w:tcBorders>
              <w:top w:val="nil"/>
              <w:left w:val="nil"/>
              <w:bottom w:val="nil"/>
              <w:right w:val="nil"/>
            </w:tcBorders>
            <w:tcMar>
              <w:top w:w="0" w:type="dxa"/>
              <w:left w:w="100" w:type="dxa"/>
              <w:bottom w:w="0" w:type="dxa"/>
              <w:right w:w="100" w:type="dxa"/>
            </w:tcMar>
          </w:tcPr>
          <w:p w14:paraId="10FBF889" w14:textId="77777777" w:rsidR="00340A38" w:rsidRDefault="00000000">
            <w:pPr>
              <w:spacing w:after="0" w:line="276" w:lineRule="auto"/>
              <w:rPr>
                <w:sz w:val="18"/>
                <w:szCs w:val="18"/>
              </w:rPr>
            </w:pPr>
            <w:r>
              <w:rPr>
                <w:sz w:val="18"/>
                <w:szCs w:val="18"/>
              </w:rPr>
              <w:t>-0.003148</w:t>
            </w:r>
            <w:r>
              <w:rPr>
                <w:sz w:val="18"/>
                <w:szCs w:val="18"/>
                <w:vertAlign w:val="superscript"/>
              </w:rPr>
              <w:t>*</w:t>
            </w:r>
          </w:p>
        </w:tc>
        <w:tc>
          <w:tcPr>
            <w:tcW w:w="1934" w:type="dxa"/>
            <w:tcBorders>
              <w:top w:val="nil"/>
              <w:left w:val="nil"/>
              <w:bottom w:val="nil"/>
              <w:right w:val="nil"/>
            </w:tcBorders>
            <w:tcMar>
              <w:top w:w="0" w:type="dxa"/>
              <w:left w:w="100" w:type="dxa"/>
              <w:bottom w:w="0" w:type="dxa"/>
              <w:right w:w="100" w:type="dxa"/>
            </w:tcMar>
          </w:tcPr>
          <w:p w14:paraId="2D7A629B" w14:textId="77777777" w:rsidR="00340A38" w:rsidRDefault="00000000">
            <w:pPr>
              <w:spacing w:after="0" w:line="276" w:lineRule="auto"/>
              <w:rPr>
                <w:sz w:val="18"/>
                <w:szCs w:val="18"/>
              </w:rPr>
            </w:pPr>
            <w:r>
              <w:rPr>
                <w:sz w:val="18"/>
                <w:szCs w:val="18"/>
              </w:rPr>
              <w:t xml:space="preserve"> 0.0005323</w:t>
            </w:r>
          </w:p>
        </w:tc>
        <w:tc>
          <w:tcPr>
            <w:tcW w:w="1934" w:type="dxa"/>
            <w:tcBorders>
              <w:top w:val="nil"/>
              <w:left w:val="nil"/>
              <w:bottom w:val="nil"/>
              <w:right w:val="nil"/>
            </w:tcBorders>
            <w:tcMar>
              <w:top w:w="0" w:type="dxa"/>
              <w:left w:w="100" w:type="dxa"/>
              <w:bottom w:w="0" w:type="dxa"/>
              <w:right w:w="100" w:type="dxa"/>
            </w:tcMar>
          </w:tcPr>
          <w:p w14:paraId="4B25AF0C" w14:textId="77777777" w:rsidR="00340A38" w:rsidRDefault="00000000">
            <w:pPr>
              <w:spacing w:after="0" w:line="240" w:lineRule="auto"/>
              <w:rPr>
                <w:sz w:val="18"/>
                <w:szCs w:val="18"/>
              </w:rPr>
            </w:pPr>
            <w:r>
              <w:rPr>
                <w:sz w:val="18"/>
                <w:szCs w:val="18"/>
              </w:rPr>
              <w:t>0.0068937</w:t>
            </w:r>
            <w:r>
              <w:rPr>
                <w:sz w:val="18"/>
                <w:szCs w:val="18"/>
                <w:vertAlign w:val="superscript"/>
              </w:rPr>
              <w:t>***</w:t>
            </w:r>
          </w:p>
        </w:tc>
        <w:tc>
          <w:tcPr>
            <w:tcW w:w="1934" w:type="dxa"/>
            <w:tcBorders>
              <w:top w:val="nil"/>
              <w:left w:val="nil"/>
              <w:bottom w:val="nil"/>
              <w:right w:val="nil"/>
            </w:tcBorders>
            <w:tcMar>
              <w:top w:w="0" w:type="dxa"/>
              <w:left w:w="100" w:type="dxa"/>
              <w:bottom w:w="0" w:type="dxa"/>
              <w:right w:w="100" w:type="dxa"/>
            </w:tcMar>
          </w:tcPr>
          <w:p w14:paraId="7FB937EC" w14:textId="77777777" w:rsidR="00340A38" w:rsidRDefault="00000000">
            <w:pPr>
              <w:spacing w:after="0" w:line="240" w:lineRule="auto"/>
              <w:rPr>
                <w:sz w:val="18"/>
                <w:szCs w:val="18"/>
              </w:rPr>
            </w:pPr>
            <w:r>
              <w:rPr>
                <w:sz w:val="18"/>
                <w:szCs w:val="18"/>
              </w:rPr>
              <w:t xml:space="preserve"> -0.0054843</w:t>
            </w:r>
            <w:r>
              <w:rPr>
                <w:sz w:val="18"/>
                <w:szCs w:val="18"/>
                <w:vertAlign w:val="superscript"/>
              </w:rPr>
              <w:t>***</w:t>
            </w:r>
          </w:p>
        </w:tc>
      </w:tr>
      <w:tr w:rsidR="00340A38" w14:paraId="14481A0C" w14:textId="77777777">
        <w:trPr>
          <w:trHeight w:val="285"/>
        </w:trPr>
        <w:tc>
          <w:tcPr>
            <w:tcW w:w="1622" w:type="dxa"/>
            <w:tcBorders>
              <w:top w:val="nil"/>
              <w:left w:val="nil"/>
              <w:bottom w:val="nil"/>
              <w:right w:val="nil"/>
            </w:tcBorders>
            <w:tcMar>
              <w:top w:w="0" w:type="dxa"/>
              <w:left w:w="100" w:type="dxa"/>
              <w:bottom w:w="0" w:type="dxa"/>
              <w:right w:w="100" w:type="dxa"/>
            </w:tcMar>
          </w:tcPr>
          <w:p w14:paraId="36DD14DA" w14:textId="77777777" w:rsidR="00340A38" w:rsidRDefault="00000000">
            <w:pPr>
              <w:spacing w:after="0" w:line="240" w:lineRule="auto"/>
              <w:rPr>
                <w:sz w:val="18"/>
                <w:szCs w:val="18"/>
              </w:rPr>
            </w:pPr>
            <w:r>
              <w:rPr>
                <w:sz w:val="18"/>
                <w:szCs w:val="18"/>
              </w:rPr>
              <w:t xml:space="preserve"> </w:t>
            </w:r>
          </w:p>
        </w:tc>
        <w:tc>
          <w:tcPr>
            <w:tcW w:w="1934" w:type="dxa"/>
            <w:tcBorders>
              <w:top w:val="nil"/>
              <w:left w:val="nil"/>
              <w:bottom w:val="nil"/>
              <w:right w:val="nil"/>
            </w:tcBorders>
            <w:tcMar>
              <w:top w:w="0" w:type="dxa"/>
              <w:left w:w="100" w:type="dxa"/>
              <w:bottom w:w="0" w:type="dxa"/>
              <w:right w:w="100" w:type="dxa"/>
            </w:tcMar>
          </w:tcPr>
          <w:p w14:paraId="5A75BE18" w14:textId="77777777" w:rsidR="00340A38" w:rsidRDefault="00000000">
            <w:pPr>
              <w:spacing w:after="0" w:line="240" w:lineRule="auto"/>
              <w:rPr>
                <w:sz w:val="18"/>
                <w:szCs w:val="18"/>
              </w:rPr>
            </w:pPr>
            <w:r>
              <w:rPr>
                <w:sz w:val="18"/>
                <w:szCs w:val="18"/>
              </w:rPr>
              <w:t>(-1.74)</w:t>
            </w:r>
          </w:p>
        </w:tc>
        <w:tc>
          <w:tcPr>
            <w:tcW w:w="1934" w:type="dxa"/>
            <w:tcBorders>
              <w:top w:val="nil"/>
              <w:left w:val="nil"/>
              <w:bottom w:val="nil"/>
              <w:right w:val="nil"/>
            </w:tcBorders>
            <w:tcMar>
              <w:top w:w="0" w:type="dxa"/>
              <w:left w:w="100" w:type="dxa"/>
              <w:bottom w:w="0" w:type="dxa"/>
              <w:right w:w="100" w:type="dxa"/>
            </w:tcMar>
          </w:tcPr>
          <w:p w14:paraId="720A82D2" w14:textId="77777777" w:rsidR="00340A38" w:rsidRDefault="00000000">
            <w:pPr>
              <w:spacing w:after="0" w:line="240" w:lineRule="auto"/>
              <w:rPr>
                <w:sz w:val="18"/>
                <w:szCs w:val="18"/>
              </w:rPr>
            </w:pPr>
            <w:r>
              <w:rPr>
                <w:sz w:val="18"/>
                <w:szCs w:val="18"/>
              </w:rPr>
              <w:t>(0.24)</w:t>
            </w:r>
          </w:p>
        </w:tc>
        <w:tc>
          <w:tcPr>
            <w:tcW w:w="1934" w:type="dxa"/>
            <w:tcBorders>
              <w:top w:val="nil"/>
              <w:left w:val="nil"/>
              <w:bottom w:val="nil"/>
              <w:right w:val="nil"/>
            </w:tcBorders>
            <w:tcMar>
              <w:top w:w="0" w:type="dxa"/>
              <w:left w:w="100" w:type="dxa"/>
              <w:bottom w:w="0" w:type="dxa"/>
              <w:right w:w="100" w:type="dxa"/>
            </w:tcMar>
          </w:tcPr>
          <w:p w14:paraId="1849A5E8" w14:textId="77777777" w:rsidR="00340A38" w:rsidRDefault="00000000">
            <w:pPr>
              <w:spacing w:after="0" w:line="240" w:lineRule="auto"/>
              <w:rPr>
                <w:sz w:val="18"/>
                <w:szCs w:val="18"/>
              </w:rPr>
            </w:pPr>
            <w:r>
              <w:rPr>
                <w:sz w:val="18"/>
                <w:szCs w:val="18"/>
              </w:rPr>
              <w:t>(4.29)</w:t>
            </w:r>
          </w:p>
        </w:tc>
        <w:tc>
          <w:tcPr>
            <w:tcW w:w="1934" w:type="dxa"/>
            <w:tcBorders>
              <w:top w:val="nil"/>
              <w:left w:val="nil"/>
              <w:bottom w:val="nil"/>
              <w:right w:val="nil"/>
            </w:tcBorders>
            <w:tcMar>
              <w:top w:w="0" w:type="dxa"/>
              <w:left w:w="100" w:type="dxa"/>
              <w:bottom w:w="0" w:type="dxa"/>
              <w:right w:w="100" w:type="dxa"/>
            </w:tcMar>
          </w:tcPr>
          <w:p w14:paraId="5C6E733F" w14:textId="77777777" w:rsidR="00340A38" w:rsidRDefault="00000000">
            <w:pPr>
              <w:spacing w:after="0" w:line="240" w:lineRule="auto"/>
              <w:rPr>
                <w:sz w:val="18"/>
                <w:szCs w:val="18"/>
              </w:rPr>
            </w:pPr>
            <w:r>
              <w:rPr>
                <w:sz w:val="18"/>
                <w:szCs w:val="18"/>
              </w:rPr>
              <w:t>(-3.00)</w:t>
            </w:r>
          </w:p>
        </w:tc>
      </w:tr>
      <w:tr w:rsidR="00340A38" w14:paraId="00E5348F" w14:textId="77777777">
        <w:trPr>
          <w:trHeight w:val="240"/>
        </w:trPr>
        <w:tc>
          <w:tcPr>
            <w:tcW w:w="1622" w:type="dxa"/>
            <w:tcBorders>
              <w:top w:val="nil"/>
              <w:left w:val="nil"/>
              <w:bottom w:val="nil"/>
              <w:right w:val="nil"/>
            </w:tcBorders>
            <w:tcMar>
              <w:top w:w="0" w:type="dxa"/>
              <w:left w:w="100" w:type="dxa"/>
              <w:bottom w:w="0" w:type="dxa"/>
              <w:right w:w="100" w:type="dxa"/>
            </w:tcMar>
          </w:tcPr>
          <w:p w14:paraId="2D1BEFE3" w14:textId="77777777" w:rsidR="00340A38" w:rsidRDefault="00000000">
            <w:pPr>
              <w:spacing w:after="0" w:line="240" w:lineRule="auto"/>
              <w:rPr>
                <w:sz w:val="18"/>
                <w:szCs w:val="18"/>
              </w:rPr>
            </w:pPr>
            <w:r>
              <w:rPr>
                <w:sz w:val="18"/>
                <w:szCs w:val="18"/>
              </w:rPr>
              <w:t>IACT</w:t>
            </w:r>
          </w:p>
        </w:tc>
        <w:tc>
          <w:tcPr>
            <w:tcW w:w="1934" w:type="dxa"/>
            <w:tcBorders>
              <w:top w:val="nil"/>
              <w:left w:val="nil"/>
              <w:bottom w:val="nil"/>
              <w:right w:val="nil"/>
            </w:tcBorders>
            <w:tcMar>
              <w:top w:w="0" w:type="dxa"/>
              <w:left w:w="100" w:type="dxa"/>
              <w:bottom w:w="0" w:type="dxa"/>
              <w:right w:w="100" w:type="dxa"/>
            </w:tcMar>
          </w:tcPr>
          <w:p w14:paraId="23CEB3C7" w14:textId="77777777" w:rsidR="00340A38" w:rsidRDefault="00000000">
            <w:pPr>
              <w:spacing w:after="0" w:line="240" w:lineRule="auto"/>
              <w:rPr>
                <w:sz w:val="18"/>
                <w:szCs w:val="18"/>
                <w:vertAlign w:val="superscript"/>
              </w:rPr>
            </w:pPr>
            <w:r>
              <w:rPr>
                <w:sz w:val="18"/>
                <w:szCs w:val="18"/>
              </w:rPr>
              <w:t>0.1207304</w:t>
            </w:r>
            <w:r>
              <w:rPr>
                <w:sz w:val="18"/>
                <w:szCs w:val="18"/>
                <w:vertAlign w:val="superscript"/>
              </w:rPr>
              <w:t>***</w:t>
            </w:r>
          </w:p>
        </w:tc>
        <w:tc>
          <w:tcPr>
            <w:tcW w:w="1934" w:type="dxa"/>
            <w:tcBorders>
              <w:top w:val="nil"/>
              <w:left w:val="nil"/>
              <w:bottom w:val="nil"/>
              <w:right w:val="nil"/>
            </w:tcBorders>
            <w:tcMar>
              <w:top w:w="0" w:type="dxa"/>
              <w:left w:w="100" w:type="dxa"/>
              <w:bottom w:w="0" w:type="dxa"/>
              <w:right w:w="100" w:type="dxa"/>
            </w:tcMar>
          </w:tcPr>
          <w:p w14:paraId="4BD3AABD" w14:textId="77777777" w:rsidR="00340A38" w:rsidRDefault="00000000">
            <w:pPr>
              <w:spacing w:after="0" w:line="240" w:lineRule="auto"/>
              <w:rPr>
                <w:sz w:val="18"/>
                <w:szCs w:val="18"/>
              </w:rPr>
            </w:pPr>
            <w:r>
              <w:rPr>
                <w:sz w:val="18"/>
                <w:szCs w:val="18"/>
              </w:rPr>
              <w:t xml:space="preserve"> 0.0434472</w:t>
            </w:r>
            <w:r>
              <w:rPr>
                <w:sz w:val="18"/>
                <w:szCs w:val="18"/>
                <w:vertAlign w:val="superscript"/>
              </w:rPr>
              <w:t>***</w:t>
            </w:r>
          </w:p>
        </w:tc>
        <w:tc>
          <w:tcPr>
            <w:tcW w:w="1934" w:type="dxa"/>
            <w:tcBorders>
              <w:top w:val="nil"/>
              <w:left w:val="nil"/>
              <w:bottom w:val="nil"/>
              <w:right w:val="nil"/>
            </w:tcBorders>
            <w:tcMar>
              <w:top w:w="0" w:type="dxa"/>
              <w:left w:w="100" w:type="dxa"/>
              <w:bottom w:w="0" w:type="dxa"/>
              <w:right w:w="100" w:type="dxa"/>
            </w:tcMar>
          </w:tcPr>
          <w:p w14:paraId="1249FF83" w14:textId="77777777" w:rsidR="00340A38" w:rsidRDefault="00000000">
            <w:pPr>
              <w:spacing w:after="0" w:line="240" w:lineRule="auto"/>
              <w:rPr>
                <w:sz w:val="18"/>
                <w:szCs w:val="18"/>
                <w:vertAlign w:val="superscript"/>
              </w:rPr>
            </w:pPr>
            <w:r>
              <w:rPr>
                <w:sz w:val="18"/>
                <w:szCs w:val="18"/>
              </w:rPr>
              <w:t>-0.0540573</w:t>
            </w:r>
            <w:r>
              <w:rPr>
                <w:sz w:val="18"/>
                <w:szCs w:val="18"/>
                <w:vertAlign w:val="superscript"/>
              </w:rPr>
              <w:t>**</w:t>
            </w:r>
          </w:p>
        </w:tc>
        <w:tc>
          <w:tcPr>
            <w:tcW w:w="1934" w:type="dxa"/>
            <w:tcBorders>
              <w:top w:val="nil"/>
              <w:left w:val="nil"/>
              <w:bottom w:val="nil"/>
              <w:right w:val="nil"/>
            </w:tcBorders>
            <w:tcMar>
              <w:top w:w="0" w:type="dxa"/>
              <w:left w:w="100" w:type="dxa"/>
              <w:bottom w:w="0" w:type="dxa"/>
              <w:right w:w="100" w:type="dxa"/>
            </w:tcMar>
          </w:tcPr>
          <w:p w14:paraId="3BDBF8D1" w14:textId="77777777" w:rsidR="00340A38" w:rsidRDefault="00000000">
            <w:pPr>
              <w:spacing w:after="0" w:line="240" w:lineRule="auto"/>
              <w:rPr>
                <w:sz w:val="18"/>
                <w:szCs w:val="18"/>
              </w:rPr>
            </w:pPr>
            <w:r>
              <w:rPr>
                <w:sz w:val="18"/>
                <w:szCs w:val="18"/>
              </w:rPr>
              <w:t>-0.0574555</w:t>
            </w:r>
            <w:r>
              <w:rPr>
                <w:sz w:val="18"/>
                <w:szCs w:val="18"/>
                <w:vertAlign w:val="superscript"/>
              </w:rPr>
              <w:t>***</w:t>
            </w:r>
          </w:p>
        </w:tc>
      </w:tr>
      <w:tr w:rsidR="00340A38" w14:paraId="508DC642" w14:textId="77777777">
        <w:trPr>
          <w:trHeight w:val="285"/>
        </w:trPr>
        <w:tc>
          <w:tcPr>
            <w:tcW w:w="1622" w:type="dxa"/>
            <w:tcBorders>
              <w:top w:val="nil"/>
              <w:left w:val="nil"/>
              <w:bottom w:val="nil"/>
              <w:right w:val="nil"/>
            </w:tcBorders>
            <w:tcMar>
              <w:top w:w="0" w:type="dxa"/>
              <w:left w:w="100" w:type="dxa"/>
              <w:bottom w:w="0" w:type="dxa"/>
              <w:right w:w="100" w:type="dxa"/>
            </w:tcMar>
          </w:tcPr>
          <w:p w14:paraId="741E0220" w14:textId="77777777" w:rsidR="00340A38" w:rsidRDefault="00000000">
            <w:pPr>
              <w:spacing w:after="0" w:line="240" w:lineRule="auto"/>
              <w:rPr>
                <w:sz w:val="18"/>
                <w:szCs w:val="18"/>
              </w:rPr>
            </w:pPr>
            <w:r>
              <w:rPr>
                <w:sz w:val="18"/>
                <w:szCs w:val="18"/>
              </w:rPr>
              <w:t xml:space="preserve"> </w:t>
            </w:r>
          </w:p>
        </w:tc>
        <w:tc>
          <w:tcPr>
            <w:tcW w:w="1934" w:type="dxa"/>
            <w:tcBorders>
              <w:top w:val="nil"/>
              <w:left w:val="nil"/>
              <w:bottom w:val="nil"/>
              <w:right w:val="nil"/>
            </w:tcBorders>
            <w:tcMar>
              <w:top w:w="0" w:type="dxa"/>
              <w:left w:w="100" w:type="dxa"/>
              <w:bottom w:w="0" w:type="dxa"/>
              <w:right w:w="100" w:type="dxa"/>
            </w:tcMar>
          </w:tcPr>
          <w:p w14:paraId="3E447DF6" w14:textId="77777777" w:rsidR="00340A38" w:rsidRDefault="00000000">
            <w:pPr>
              <w:spacing w:after="0" w:line="240" w:lineRule="auto"/>
              <w:rPr>
                <w:sz w:val="18"/>
                <w:szCs w:val="18"/>
              </w:rPr>
            </w:pPr>
            <w:r>
              <w:rPr>
                <w:sz w:val="18"/>
                <w:szCs w:val="18"/>
              </w:rPr>
              <w:t>(7.51)</w:t>
            </w:r>
          </w:p>
        </w:tc>
        <w:tc>
          <w:tcPr>
            <w:tcW w:w="1934" w:type="dxa"/>
            <w:tcBorders>
              <w:top w:val="nil"/>
              <w:left w:val="nil"/>
              <w:bottom w:val="nil"/>
              <w:right w:val="nil"/>
            </w:tcBorders>
            <w:tcMar>
              <w:top w:w="0" w:type="dxa"/>
              <w:left w:w="100" w:type="dxa"/>
              <w:bottom w:w="0" w:type="dxa"/>
              <w:right w:w="100" w:type="dxa"/>
            </w:tcMar>
          </w:tcPr>
          <w:p w14:paraId="64A120CE" w14:textId="77777777" w:rsidR="00340A38" w:rsidRDefault="00000000">
            <w:pPr>
              <w:spacing w:after="0" w:line="240" w:lineRule="auto"/>
              <w:rPr>
                <w:sz w:val="18"/>
                <w:szCs w:val="18"/>
              </w:rPr>
            </w:pPr>
            <w:r>
              <w:rPr>
                <w:sz w:val="18"/>
                <w:szCs w:val="18"/>
              </w:rPr>
              <w:t>(3.21)</w:t>
            </w:r>
          </w:p>
        </w:tc>
        <w:tc>
          <w:tcPr>
            <w:tcW w:w="1934" w:type="dxa"/>
            <w:tcBorders>
              <w:top w:val="nil"/>
              <w:left w:val="nil"/>
              <w:bottom w:val="nil"/>
              <w:right w:val="nil"/>
            </w:tcBorders>
            <w:tcMar>
              <w:top w:w="0" w:type="dxa"/>
              <w:left w:w="100" w:type="dxa"/>
              <w:bottom w:w="0" w:type="dxa"/>
              <w:right w:w="100" w:type="dxa"/>
            </w:tcMar>
          </w:tcPr>
          <w:p w14:paraId="147461E5" w14:textId="77777777" w:rsidR="00340A38" w:rsidRDefault="00000000">
            <w:pPr>
              <w:spacing w:after="0" w:line="240" w:lineRule="auto"/>
              <w:rPr>
                <w:sz w:val="18"/>
                <w:szCs w:val="18"/>
              </w:rPr>
            </w:pPr>
            <w:r>
              <w:rPr>
                <w:sz w:val="18"/>
                <w:szCs w:val="18"/>
              </w:rPr>
              <w:t>(-2.13)</w:t>
            </w:r>
          </w:p>
        </w:tc>
        <w:tc>
          <w:tcPr>
            <w:tcW w:w="1934" w:type="dxa"/>
            <w:tcBorders>
              <w:top w:val="nil"/>
              <w:left w:val="nil"/>
              <w:bottom w:val="nil"/>
              <w:right w:val="nil"/>
            </w:tcBorders>
            <w:tcMar>
              <w:top w:w="0" w:type="dxa"/>
              <w:left w:w="100" w:type="dxa"/>
              <w:bottom w:w="0" w:type="dxa"/>
              <w:right w:w="100" w:type="dxa"/>
            </w:tcMar>
          </w:tcPr>
          <w:p w14:paraId="4FDC469D" w14:textId="77777777" w:rsidR="00340A38" w:rsidRDefault="00000000">
            <w:pPr>
              <w:spacing w:after="0" w:line="240" w:lineRule="auto"/>
              <w:rPr>
                <w:sz w:val="18"/>
                <w:szCs w:val="18"/>
              </w:rPr>
            </w:pPr>
            <w:r>
              <w:rPr>
                <w:sz w:val="18"/>
                <w:szCs w:val="18"/>
              </w:rPr>
              <w:t>(-3.32)</w:t>
            </w:r>
          </w:p>
        </w:tc>
      </w:tr>
      <w:tr w:rsidR="00340A38" w14:paraId="6016543F" w14:textId="77777777">
        <w:trPr>
          <w:trHeight w:val="240"/>
        </w:trPr>
        <w:tc>
          <w:tcPr>
            <w:tcW w:w="1622" w:type="dxa"/>
            <w:tcBorders>
              <w:top w:val="nil"/>
              <w:left w:val="nil"/>
              <w:bottom w:val="nil"/>
              <w:right w:val="nil"/>
            </w:tcBorders>
            <w:tcMar>
              <w:top w:w="0" w:type="dxa"/>
              <w:left w:w="100" w:type="dxa"/>
              <w:bottom w:w="0" w:type="dxa"/>
              <w:right w:w="100" w:type="dxa"/>
            </w:tcMar>
          </w:tcPr>
          <w:p w14:paraId="69FBA7EB" w14:textId="77777777" w:rsidR="00340A38" w:rsidRDefault="00000000">
            <w:pPr>
              <w:spacing w:after="0" w:line="240" w:lineRule="auto"/>
              <w:rPr>
                <w:sz w:val="18"/>
                <w:szCs w:val="18"/>
              </w:rPr>
            </w:pPr>
            <w:r>
              <w:rPr>
                <w:sz w:val="18"/>
                <w:szCs w:val="18"/>
              </w:rPr>
              <w:t>SIZE</w:t>
            </w:r>
          </w:p>
        </w:tc>
        <w:tc>
          <w:tcPr>
            <w:tcW w:w="1934" w:type="dxa"/>
            <w:tcBorders>
              <w:top w:val="nil"/>
              <w:left w:val="nil"/>
              <w:bottom w:val="nil"/>
              <w:right w:val="nil"/>
            </w:tcBorders>
            <w:tcMar>
              <w:top w:w="0" w:type="dxa"/>
              <w:left w:w="100" w:type="dxa"/>
              <w:bottom w:w="0" w:type="dxa"/>
              <w:right w:w="100" w:type="dxa"/>
            </w:tcMar>
          </w:tcPr>
          <w:p w14:paraId="7665C952" w14:textId="77777777" w:rsidR="00340A38" w:rsidRDefault="00000000">
            <w:pPr>
              <w:spacing w:after="0" w:line="240" w:lineRule="auto"/>
              <w:rPr>
                <w:sz w:val="18"/>
                <w:szCs w:val="18"/>
                <w:vertAlign w:val="superscript"/>
              </w:rPr>
            </w:pPr>
            <w:r>
              <w:rPr>
                <w:sz w:val="18"/>
                <w:szCs w:val="18"/>
              </w:rPr>
              <w:t>0.0020633</w:t>
            </w:r>
            <w:r>
              <w:rPr>
                <w:sz w:val="18"/>
                <w:szCs w:val="18"/>
                <w:vertAlign w:val="superscript"/>
              </w:rPr>
              <w:t>***</w:t>
            </w:r>
          </w:p>
        </w:tc>
        <w:tc>
          <w:tcPr>
            <w:tcW w:w="1934" w:type="dxa"/>
            <w:tcBorders>
              <w:top w:val="nil"/>
              <w:left w:val="nil"/>
              <w:bottom w:val="nil"/>
              <w:right w:val="nil"/>
            </w:tcBorders>
            <w:tcMar>
              <w:top w:w="0" w:type="dxa"/>
              <w:left w:w="100" w:type="dxa"/>
              <w:bottom w:w="0" w:type="dxa"/>
              <w:right w:w="100" w:type="dxa"/>
            </w:tcMar>
          </w:tcPr>
          <w:p w14:paraId="39E93EA8" w14:textId="77777777" w:rsidR="00340A38" w:rsidRDefault="00000000">
            <w:pPr>
              <w:spacing w:after="0" w:line="240" w:lineRule="auto"/>
              <w:rPr>
                <w:sz w:val="18"/>
                <w:szCs w:val="18"/>
              </w:rPr>
            </w:pPr>
            <w:r>
              <w:rPr>
                <w:sz w:val="18"/>
                <w:szCs w:val="18"/>
              </w:rPr>
              <w:t>-0.0754138</w:t>
            </w:r>
            <w:r>
              <w:rPr>
                <w:sz w:val="18"/>
                <w:szCs w:val="18"/>
                <w:vertAlign w:val="superscript"/>
              </w:rPr>
              <w:t>***</w:t>
            </w:r>
          </w:p>
        </w:tc>
        <w:tc>
          <w:tcPr>
            <w:tcW w:w="1934" w:type="dxa"/>
            <w:tcBorders>
              <w:top w:val="nil"/>
              <w:left w:val="nil"/>
              <w:bottom w:val="nil"/>
              <w:right w:val="nil"/>
            </w:tcBorders>
            <w:tcMar>
              <w:top w:w="0" w:type="dxa"/>
              <w:left w:w="100" w:type="dxa"/>
              <w:bottom w:w="0" w:type="dxa"/>
              <w:right w:w="100" w:type="dxa"/>
            </w:tcMar>
          </w:tcPr>
          <w:p w14:paraId="44159437" w14:textId="77777777" w:rsidR="00340A38" w:rsidRDefault="00000000">
            <w:pPr>
              <w:spacing w:after="0" w:line="240" w:lineRule="auto"/>
              <w:rPr>
                <w:sz w:val="18"/>
                <w:szCs w:val="18"/>
                <w:vertAlign w:val="superscript"/>
              </w:rPr>
            </w:pPr>
            <w:r>
              <w:rPr>
                <w:sz w:val="18"/>
                <w:szCs w:val="18"/>
              </w:rPr>
              <w:t>0.0293434</w:t>
            </w:r>
            <w:r>
              <w:rPr>
                <w:sz w:val="18"/>
                <w:szCs w:val="18"/>
                <w:vertAlign w:val="superscript"/>
              </w:rPr>
              <w:t>***</w:t>
            </w:r>
          </w:p>
        </w:tc>
        <w:tc>
          <w:tcPr>
            <w:tcW w:w="1934" w:type="dxa"/>
            <w:tcBorders>
              <w:top w:val="nil"/>
              <w:left w:val="nil"/>
              <w:bottom w:val="nil"/>
              <w:right w:val="nil"/>
            </w:tcBorders>
            <w:tcMar>
              <w:top w:w="0" w:type="dxa"/>
              <w:left w:w="100" w:type="dxa"/>
              <w:bottom w:w="0" w:type="dxa"/>
              <w:right w:w="100" w:type="dxa"/>
            </w:tcMar>
          </w:tcPr>
          <w:p w14:paraId="0AE3CC03" w14:textId="77777777" w:rsidR="00340A38" w:rsidRDefault="00000000">
            <w:pPr>
              <w:spacing w:after="0" w:line="240" w:lineRule="auto"/>
              <w:rPr>
                <w:sz w:val="18"/>
                <w:szCs w:val="18"/>
              </w:rPr>
            </w:pPr>
            <w:r>
              <w:rPr>
                <w:sz w:val="18"/>
                <w:szCs w:val="18"/>
              </w:rPr>
              <w:t>-0.0120637</w:t>
            </w:r>
            <w:r>
              <w:rPr>
                <w:sz w:val="18"/>
                <w:szCs w:val="18"/>
                <w:vertAlign w:val="superscript"/>
              </w:rPr>
              <w:t>**</w:t>
            </w:r>
          </w:p>
        </w:tc>
      </w:tr>
      <w:tr w:rsidR="00340A38" w14:paraId="3C8B7CDC" w14:textId="77777777">
        <w:trPr>
          <w:trHeight w:val="285"/>
        </w:trPr>
        <w:tc>
          <w:tcPr>
            <w:tcW w:w="1622" w:type="dxa"/>
            <w:tcBorders>
              <w:top w:val="nil"/>
              <w:left w:val="nil"/>
              <w:bottom w:val="nil"/>
              <w:right w:val="nil"/>
            </w:tcBorders>
            <w:tcMar>
              <w:top w:w="0" w:type="dxa"/>
              <w:left w:w="100" w:type="dxa"/>
              <w:bottom w:w="0" w:type="dxa"/>
              <w:right w:w="100" w:type="dxa"/>
            </w:tcMar>
          </w:tcPr>
          <w:p w14:paraId="53AAE7D3" w14:textId="77777777" w:rsidR="00340A38" w:rsidRDefault="00000000">
            <w:pPr>
              <w:spacing w:after="0" w:line="240" w:lineRule="auto"/>
              <w:rPr>
                <w:sz w:val="18"/>
                <w:szCs w:val="18"/>
              </w:rPr>
            </w:pPr>
            <w:r>
              <w:rPr>
                <w:sz w:val="18"/>
                <w:szCs w:val="18"/>
              </w:rPr>
              <w:t xml:space="preserve"> </w:t>
            </w:r>
          </w:p>
        </w:tc>
        <w:tc>
          <w:tcPr>
            <w:tcW w:w="1934" w:type="dxa"/>
            <w:tcBorders>
              <w:top w:val="nil"/>
              <w:left w:val="nil"/>
              <w:bottom w:val="nil"/>
              <w:right w:val="nil"/>
            </w:tcBorders>
            <w:tcMar>
              <w:top w:w="0" w:type="dxa"/>
              <w:left w:w="100" w:type="dxa"/>
              <w:bottom w:w="0" w:type="dxa"/>
              <w:right w:w="100" w:type="dxa"/>
            </w:tcMar>
          </w:tcPr>
          <w:p w14:paraId="5E8C7BEB" w14:textId="77777777" w:rsidR="00340A38" w:rsidRDefault="00000000">
            <w:pPr>
              <w:spacing w:after="0" w:line="240" w:lineRule="auto"/>
              <w:rPr>
                <w:sz w:val="18"/>
                <w:szCs w:val="18"/>
              </w:rPr>
            </w:pPr>
            <w:r>
              <w:rPr>
                <w:sz w:val="18"/>
                <w:szCs w:val="18"/>
              </w:rPr>
              <w:t>(0.64)</w:t>
            </w:r>
          </w:p>
        </w:tc>
        <w:tc>
          <w:tcPr>
            <w:tcW w:w="1934" w:type="dxa"/>
            <w:tcBorders>
              <w:top w:val="nil"/>
              <w:left w:val="nil"/>
              <w:bottom w:val="nil"/>
              <w:right w:val="nil"/>
            </w:tcBorders>
            <w:tcMar>
              <w:top w:w="0" w:type="dxa"/>
              <w:left w:w="100" w:type="dxa"/>
              <w:bottom w:w="0" w:type="dxa"/>
              <w:right w:w="100" w:type="dxa"/>
            </w:tcMar>
          </w:tcPr>
          <w:p w14:paraId="4E7AC049" w14:textId="77777777" w:rsidR="00340A38" w:rsidRDefault="00000000">
            <w:pPr>
              <w:spacing w:after="0" w:line="240" w:lineRule="auto"/>
              <w:rPr>
                <w:sz w:val="18"/>
                <w:szCs w:val="18"/>
              </w:rPr>
            </w:pPr>
            <w:r>
              <w:rPr>
                <w:sz w:val="18"/>
                <w:szCs w:val="18"/>
              </w:rPr>
              <w:t>(-19.29)</w:t>
            </w:r>
          </w:p>
        </w:tc>
        <w:tc>
          <w:tcPr>
            <w:tcW w:w="1934" w:type="dxa"/>
            <w:tcBorders>
              <w:top w:val="nil"/>
              <w:left w:val="nil"/>
              <w:bottom w:val="nil"/>
              <w:right w:val="nil"/>
            </w:tcBorders>
            <w:tcMar>
              <w:top w:w="0" w:type="dxa"/>
              <w:left w:w="100" w:type="dxa"/>
              <w:bottom w:w="0" w:type="dxa"/>
              <w:right w:w="100" w:type="dxa"/>
            </w:tcMar>
          </w:tcPr>
          <w:p w14:paraId="562F8929" w14:textId="77777777" w:rsidR="00340A38" w:rsidRDefault="00000000">
            <w:pPr>
              <w:spacing w:after="0" w:line="240" w:lineRule="auto"/>
              <w:rPr>
                <w:sz w:val="18"/>
                <w:szCs w:val="18"/>
              </w:rPr>
            </w:pPr>
            <w:r>
              <w:rPr>
                <w:sz w:val="18"/>
                <w:szCs w:val="18"/>
              </w:rPr>
              <w:t>(8.70)</w:t>
            </w:r>
          </w:p>
        </w:tc>
        <w:tc>
          <w:tcPr>
            <w:tcW w:w="1934" w:type="dxa"/>
            <w:tcBorders>
              <w:top w:val="nil"/>
              <w:left w:val="nil"/>
              <w:bottom w:val="nil"/>
              <w:right w:val="nil"/>
            </w:tcBorders>
            <w:tcMar>
              <w:top w:w="0" w:type="dxa"/>
              <w:left w:w="100" w:type="dxa"/>
              <w:bottom w:w="0" w:type="dxa"/>
              <w:right w:w="100" w:type="dxa"/>
            </w:tcMar>
          </w:tcPr>
          <w:p w14:paraId="78ADBF29" w14:textId="77777777" w:rsidR="00340A38" w:rsidRDefault="00000000">
            <w:pPr>
              <w:spacing w:after="0" w:line="240" w:lineRule="auto"/>
              <w:rPr>
                <w:sz w:val="18"/>
                <w:szCs w:val="18"/>
              </w:rPr>
            </w:pPr>
            <w:r>
              <w:rPr>
                <w:sz w:val="18"/>
                <w:szCs w:val="18"/>
              </w:rPr>
              <w:t>(-2.63)</w:t>
            </w:r>
          </w:p>
        </w:tc>
      </w:tr>
      <w:tr w:rsidR="00340A38" w14:paraId="3F424E6D" w14:textId="77777777">
        <w:trPr>
          <w:trHeight w:val="255"/>
        </w:trPr>
        <w:tc>
          <w:tcPr>
            <w:tcW w:w="1622" w:type="dxa"/>
            <w:tcBorders>
              <w:top w:val="nil"/>
              <w:left w:val="nil"/>
              <w:bottom w:val="nil"/>
              <w:right w:val="nil"/>
            </w:tcBorders>
            <w:tcMar>
              <w:top w:w="0" w:type="dxa"/>
              <w:left w:w="100" w:type="dxa"/>
              <w:bottom w:w="0" w:type="dxa"/>
              <w:right w:w="100" w:type="dxa"/>
            </w:tcMar>
          </w:tcPr>
          <w:p w14:paraId="4E41CC3A" w14:textId="77777777" w:rsidR="00340A38" w:rsidRDefault="00000000">
            <w:pPr>
              <w:spacing w:after="0" w:line="240" w:lineRule="auto"/>
              <w:rPr>
                <w:sz w:val="18"/>
                <w:szCs w:val="18"/>
              </w:rPr>
            </w:pPr>
            <w:r>
              <w:rPr>
                <w:sz w:val="18"/>
                <w:szCs w:val="18"/>
              </w:rPr>
              <w:t>ROA</w:t>
            </w:r>
          </w:p>
        </w:tc>
        <w:tc>
          <w:tcPr>
            <w:tcW w:w="1934" w:type="dxa"/>
            <w:tcBorders>
              <w:top w:val="nil"/>
              <w:left w:val="nil"/>
              <w:bottom w:val="nil"/>
              <w:right w:val="nil"/>
            </w:tcBorders>
            <w:tcMar>
              <w:top w:w="0" w:type="dxa"/>
              <w:left w:w="100" w:type="dxa"/>
              <w:bottom w:w="0" w:type="dxa"/>
              <w:right w:w="100" w:type="dxa"/>
            </w:tcMar>
          </w:tcPr>
          <w:p w14:paraId="4D44B1C6" w14:textId="77777777" w:rsidR="00340A38" w:rsidRDefault="00000000">
            <w:pPr>
              <w:spacing w:after="0" w:line="240" w:lineRule="auto"/>
              <w:rPr>
                <w:sz w:val="18"/>
                <w:szCs w:val="18"/>
                <w:vertAlign w:val="superscript"/>
              </w:rPr>
            </w:pPr>
            <w:r>
              <w:rPr>
                <w:sz w:val="18"/>
                <w:szCs w:val="18"/>
              </w:rPr>
              <w:t>-0.000386</w:t>
            </w:r>
            <w:r>
              <w:rPr>
                <w:sz w:val="18"/>
                <w:szCs w:val="18"/>
                <w:vertAlign w:val="superscript"/>
              </w:rPr>
              <w:t>***</w:t>
            </w:r>
          </w:p>
        </w:tc>
        <w:tc>
          <w:tcPr>
            <w:tcW w:w="1934" w:type="dxa"/>
            <w:tcBorders>
              <w:top w:val="nil"/>
              <w:left w:val="nil"/>
              <w:bottom w:val="nil"/>
              <w:right w:val="nil"/>
            </w:tcBorders>
            <w:tcMar>
              <w:top w:w="0" w:type="dxa"/>
              <w:left w:w="100" w:type="dxa"/>
              <w:bottom w:w="0" w:type="dxa"/>
              <w:right w:w="100" w:type="dxa"/>
            </w:tcMar>
          </w:tcPr>
          <w:p w14:paraId="5F64D790" w14:textId="77777777" w:rsidR="00340A38" w:rsidRDefault="00000000">
            <w:pPr>
              <w:spacing w:after="0" w:line="240" w:lineRule="auto"/>
              <w:rPr>
                <w:sz w:val="18"/>
                <w:szCs w:val="18"/>
              </w:rPr>
            </w:pPr>
            <w:r>
              <w:rPr>
                <w:sz w:val="18"/>
                <w:szCs w:val="18"/>
              </w:rPr>
              <w:t>-0.0004616</w:t>
            </w:r>
            <w:r>
              <w:rPr>
                <w:sz w:val="18"/>
                <w:szCs w:val="18"/>
                <w:vertAlign w:val="superscript"/>
              </w:rPr>
              <w:t>***</w:t>
            </w:r>
          </w:p>
        </w:tc>
        <w:tc>
          <w:tcPr>
            <w:tcW w:w="1934" w:type="dxa"/>
            <w:tcBorders>
              <w:top w:val="nil"/>
              <w:left w:val="nil"/>
              <w:bottom w:val="nil"/>
              <w:right w:val="nil"/>
            </w:tcBorders>
            <w:tcMar>
              <w:top w:w="0" w:type="dxa"/>
              <w:left w:w="100" w:type="dxa"/>
              <w:bottom w:w="0" w:type="dxa"/>
              <w:right w:w="100" w:type="dxa"/>
            </w:tcMar>
          </w:tcPr>
          <w:p w14:paraId="3AAE98F6" w14:textId="77777777" w:rsidR="00340A38" w:rsidRDefault="00000000">
            <w:pPr>
              <w:spacing w:after="0" w:line="240" w:lineRule="auto"/>
              <w:rPr>
                <w:sz w:val="18"/>
                <w:szCs w:val="18"/>
                <w:vertAlign w:val="superscript"/>
              </w:rPr>
            </w:pPr>
            <w:r>
              <w:rPr>
                <w:sz w:val="18"/>
                <w:szCs w:val="18"/>
              </w:rPr>
              <w:t>-0.0031226</w:t>
            </w:r>
            <w:r>
              <w:rPr>
                <w:sz w:val="18"/>
                <w:szCs w:val="18"/>
                <w:vertAlign w:val="superscript"/>
              </w:rPr>
              <w:t>***</w:t>
            </w:r>
          </w:p>
        </w:tc>
        <w:tc>
          <w:tcPr>
            <w:tcW w:w="1934" w:type="dxa"/>
            <w:tcBorders>
              <w:top w:val="nil"/>
              <w:left w:val="nil"/>
              <w:bottom w:val="nil"/>
              <w:right w:val="nil"/>
            </w:tcBorders>
            <w:tcMar>
              <w:top w:w="0" w:type="dxa"/>
              <w:left w:w="100" w:type="dxa"/>
              <w:bottom w:w="0" w:type="dxa"/>
              <w:right w:w="100" w:type="dxa"/>
            </w:tcMar>
          </w:tcPr>
          <w:p w14:paraId="572EF38D" w14:textId="77777777" w:rsidR="00340A38" w:rsidRDefault="00000000">
            <w:pPr>
              <w:spacing w:after="0" w:line="240" w:lineRule="auto"/>
              <w:rPr>
                <w:sz w:val="18"/>
                <w:szCs w:val="18"/>
              </w:rPr>
            </w:pPr>
            <w:r>
              <w:rPr>
                <w:sz w:val="18"/>
                <w:szCs w:val="18"/>
              </w:rPr>
              <w:t>-0.0022867</w:t>
            </w:r>
            <w:r>
              <w:rPr>
                <w:sz w:val="18"/>
                <w:szCs w:val="18"/>
                <w:vertAlign w:val="superscript"/>
              </w:rPr>
              <w:t>***</w:t>
            </w:r>
          </w:p>
        </w:tc>
      </w:tr>
      <w:tr w:rsidR="00340A38" w14:paraId="15A8555F" w14:textId="77777777">
        <w:trPr>
          <w:trHeight w:val="285"/>
        </w:trPr>
        <w:tc>
          <w:tcPr>
            <w:tcW w:w="1622" w:type="dxa"/>
            <w:tcBorders>
              <w:top w:val="nil"/>
              <w:left w:val="nil"/>
              <w:bottom w:val="nil"/>
              <w:right w:val="nil"/>
            </w:tcBorders>
            <w:tcMar>
              <w:top w:w="0" w:type="dxa"/>
              <w:left w:w="100" w:type="dxa"/>
              <w:bottom w:w="0" w:type="dxa"/>
              <w:right w:w="100" w:type="dxa"/>
            </w:tcMar>
          </w:tcPr>
          <w:p w14:paraId="6DC77C25" w14:textId="77777777" w:rsidR="00340A38" w:rsidRDefault="00000000">
            <w:pPr>
              <w:spacing w:after="0" w:line="240" w:lineRule="auto"/>
              <w:rPr>
                <w:sz w:val="18"/>
                <w:szCs w:val="18"/>
              </w:rPr>
            </w:pPr>
            <w:r>
              <w:rPr>
                <w:sz w:val="18"/>
                <w:szCs w:val="18"/>
              </w:rPr>
              <w:t xml:space="preserve"> </w:t>
            </w:r>
          </w:p>
        </w:tc>
        <w:tc>
          <w:tcPr>
            <w:tcW w:w="1934" w:type="dxa"/>
            <w:tcBorders>
              <w:top w:val="nil"/>
              <w:left w:val="nil"/>
              <w:bottom w:val="nil"/>
              <w:right w:val="nil"/>
            </w:tcBorders>
            <w:tcMar>
              <w:top w:w="0" w:type="dxa"/>
              <w:left w:w="100" w:type="dxa"/>
              <w:bottom w:w="0" w:type="dxa"/>
              <w:right w:w="100" w:type="dxa"/>
            </w:tcMar>
          </w:tcPr>
          <w:p w14:paraId="18F27B66" w14:textId="77777777" w:rsidR="00340A38" w:rsidRDefault="00000000">
            <w:pPr>
              <w:spacing w:after="0" w:line="240" w:lineRule="auto"/>
              <w:rPr>
                <w:sz w:val="18"/>
                <w:szCs w:val="18"/>
              </w:rPr>
            </w:pPr>
            <w:r>
              <w:rPr>
                <w:sz w:val="18"/>
                <w:szCs w:val="18"/>
              </w:rPr>
              <w:t>(-4.12)</w:t>
            </w:r>
          </w:p>
        </w:tc>
        <w:tc>
          <w:tcPr>
            <w:tcW w:w="1934" w:type="dxa"/>
            <w:tcBorders>
              <w:top w:val="nil"/>
              <w:left w:val="nil"/>
              <w:bottom w:val="nil"/>
              <w:right w:val="nil"/>
            </w:tcBorders>
            <w:tcMar>
              <w:top w:w="0" w:type="dxa"/>
              <w:left w:w="100" w:type="dxa"/>
              <w:bottom w:w="0" w:type="dxa"/>
              <w:right w:w="100" w:type="dxa"/>
            </w:tcMar>
          </w:tcPr>
          <w:p w14:paraId="2974B75F" w14:textId="77777777" w:rsidR="00340A38" w:rsidRDefault="00000000">
            <w:pPr>
              <w:spacing w:after="0" w:line="240" w:lineRule="auto"/>
              <w:rPr>
                <w:sz w:val="18"/>
                <w:szCs w:val="18"/>
              </w:rPr>
            </w:pPr>
            <w:r>
              <w:rPr>
                <w:sz w:val="18"/>
                <w:szCs w:val="18"/>
              </w:rPr>
              <w:t>(-6.90)</w:t>
            </w:r>
          </w:p>
        </w:tc>
        <w:tc>
          <w:tcPr>
            <w:tcW w:w="1934" w:type="dxa"/>
            <w:tcBorders>
              <w:top w:val="nil"/>
              <w:left w:val="nil"/>
              <w:bottom w:val="nil"/>
              <w:right w:val="nil"/>
            </w:tcBorders>
            <w:tcMar>
              <w:top w:w="0" w:type="dxa"/>
              <w:left w:w="100" w:type="dxa"/>
              <w:bottom w:w="0" w:type="dxa"/>
              <w:right w:w="100" w:type="dxa"/>
            </w:tcMar>
          </w:tcPr>
          <w:p w14:paraId="7DAB7DA4" w14:textId="77777777" w:rsidR="00340A38" w:rsidRDefault="00000000">
            <w:pPr>
              <w:spacing w:after="0" w:line="240" w:lineRule="auto"/>
              <w:rPr>
                <w:sz w:val="18"/>
                <w:szCs w:val="18"/>
              </w:rPr>
            </w:pPr>
            <w:r>
              <w:rPr>
                <w:sz w:val="18"/>
                <w:szCs w:val="18"/>
              </w:rPr>
              <w:t>(-10.36)</w:t>
            </w:r>
          </w:p>
        </w:tc>
        <w:tc>
          <w:tcPr>
            <w:tcW w:w="1934" w:type="dxa"/>
            <w:tcBorders>
              <w:top w:val="nil"/>
              <w:left w:val="nil"/>
              <w:bottom w:val="nil"/>
              <w:right w:val="nil"/>
            </w:tcBorders>
            <w:tcMar>
              <w:top w:w="0" w:type="dxa"/>
              <w:left w:w="100" w:type="dxa"/>
              <w:bottom w:w="0" w:type="dxa"/>
              <w:right w:w="100" w:type="dxa"/>
            </w:tcMar>
          </w:tcPr>
          <w:p w14:paraId="36FFFD61" w14:textId="77777777" w:rsidR="00340A38" w:rsidRDefault="00000000">
            <w:pPr>
              <w:spacing w:after="0" w:line="240" w:lineRule="auto"/>
              <w:rPr>
                <w:sz w:val="18"/>
                <w:szCs w:val="18"/>
              </w:rPr>
            </w:pPr>
            <w:r>
              <w:rPr>
                <w:sz w:val="18"/>
                <w:szCs w:val="18"/>
              </w:rPr>
              <w:t>(-11.82)</w:t>
            </w:r>
          </w:p>
        </w:tc>
      </w:tr>
      <w:tr w:rsidR="00340A38" w14:paraId="1ED0198E" w14:textId="77777777">
        <w:tc>
          <w:tcPr>
            <w:tcW w:w="1622" w:type="dxa"/>
            <w:tcBorders>
              <w:top w:val="nil"/>
              <w:left w:val="nil"/>
              <w:bottom w:val="nil"/>
              <w:right w:val="nil"/>
            </w:tcBorders>
            <w:tcMar>
              <w:top w:w="0" w:type="dxa"/>
              <w:left w:w="100" w:type="dxa"/>
              <w:bottom w:w="0" w:type="dxa"/>
              <w:right w:w="100" w:type="dxa"/>
            </w:tcMar>
          </w:tcPr>
          <w:p w14:paraId="75DFDCE6" w14:textId="77777777" w:rsidR="00340A38" w:rsidRDefault="00000000">
            <w:pPr>
              <w:spacing w:after="0" w:line="240" w:lineRule="auto"/>
              <w:rPr>
                <w:sz w:val="18"/>
                <w:szCs w:val="18"/>
              </w:rPr>
            </w:pPr>
            <w:r>
              <w:rPr>
                <w:sz w:val="18"/>
                <w:szCs w:val="18"/>
              </w:rPr>
              <w:t>TANG</w:t>
            </w:r>
          </w:p>
        </w:tc>
        <w:tc>
          <w:tcPr>
            <w:tcW w:w="1934" w:type="dxa"/>
            <w:tcBorders>
              <w:top w:val="nil"/>
              <w:left w:val="nil"/>
              <w:bottom w:val="nil"/>
              <w:right w:val="nil"/>
            </w:tcBorders>
            <w:tcMar>
              <w:top w:w="0" w:type="dxa"/>
              <w:left w:w="100" w:type="dxa"/>
              <w:bottom w:w="0" w:type="dxa"/>
              <w:right w:w="100" w:type="dxa"/>
            </w:tcMar>
          </w:tcPr>
          <w:p w14:paraId="282A5705" w14:textId="77777777" w:rsidR="00340A38" w:rsidRDefault="00000000">
            <w:pPr>
              <w:spacing w:after="0" w:line="240" w:lineRule="auto"/>
              <w:rPr>
                <w:sz w:val="18"/>
                <w:szCs w:val="18"/>
                <w:vertAlign w:val="superscript"/>
              </w:rPr>
            </w:pPr>
            <w:r>
              <w:rPr>
                <w:sz w:val="18"/>
                <w:szCs w:val="18"/>
              </w:rPr>
              <w:t>-0.9043686</w:t>
            </w:r>
            <w:r>
              <w:rPr>
                <w:sz w:val="18"/>
                <w:szCs w:val="18"/>
                <w:vertAlign w:val="superscript"/>
              </w:rPr>
              <w:t>***</w:t>
            </w:r>
          </w:p>
        </w:tc>
        <w:tc>
          <w:tcPr>
            <w:tcW w:w="1934" w:type="dxa"/>
            <w:tcBorders>
              <w:top w:val="nil"/>
              <w:left w:val="nil"/>
              <w:bottom w:val="nil"/>
              <w:right w:val="nil"/>
            </w:tcBorders>
            <w:tcMar>
              <w:top w:w="0" w:type="dxa"/>
              <w:left w:w="100" w:type="dxa"/>
              <w:bottom w:w="0" w:type="dxa"/>
              <w:right w:w="100" w:type="dxa"/>
            </w:tcMar>
          </w:tcPr>
          <w:p w14:paraId="7B593135" w14:textId="77777777" w:rsidR="00340A38" w:rsidRDefault="00000000">
            <w:pPr>
              <w:spacing w:after="0" w:line="240" w:lineRule="auto"/>
              <w:rPr>
                <w:sz w:val="18"/>
                <w:szCs w:val="18"/>
              </w:rPr>
            </w:pPr>
            <w:r>
              <w:rPr>
                <w:sz w:val="18"/>
                <w:szCs w:val="18"/>
              </w:rPr>
              <w:t xml:space="preserve"> -0.9300946</w:t>
            </w:r>
            <w:r>
              <w:rPr>
                <w:sz w:val="18"/>
                <w:szCs w:val="18"/>
                <w:vertAlign w:val="superscript"/>
              </w:rPr>
              <w:t>***</w:t>
            </w:r>
          </w:p>
        </w:tc>
        <w:tc>
          <w:tcPr>
            <w:tcW w:w="1934" w:type="dxa"/>
            <w:tcBorders>
              <w:top w:val="nil"/>
              <w:left w:val="nil"/>
              <w:bottom w:val="nil"/>
              <w:right w:val="nil"/>
            </w:tcBorders>
            <w:tcMar>
              <w:top w:w="0" w:type="dxa"/>
              <w:left w:w="100" w:type="dxa"/>
              <w:bottom w:w="0" w:type="dxa"/>
              <w:right w:w="100" w:type="dxa"/>
            </w:tcMar>
          </w:tcPr>
          <w:p w14:paraId="27C1A8A7" w14:textId="77777777" w:rsidR="00340A38" w:rsidRDefault="00000000">
            <w:pPr>
              <w:spacing w:after="0" w:line="240" w:lineRule="auto"/>
              <w:rPr>
                <w:sz w:val="18"/>
                <w:szCs w:val="18"/>
                <w:vertAlign w:val="superscript"/>
              </w:rPr>
            </w:pPr>
            <w:r>
              <w:rPr>
                <w:sz w:val="18"/>
                <w:szCs w:val="18"/>
              </w:rPr>
              <w:t xml:space="preserve"> -0.7623183 </w:t>
            </w:r>
            <w:r>
              <w:rPr>
                <w:sz w:val="18"/>
                <w:szCs w:val="18"/>
                <w:vertAlign w:val="superscript"/>
              </w:rPr>
              <w:t>***</w:t>
            </w:r>
          </w:p>
        </w:tc>
        <w:tc>
          <w:tcPr>
            <w:tcW w:w="1934" w:type="dxa"/>
            <w:tcBorders>
              <w:top w:val="nil"/>
              <w:left w:val="nil"/>
              <w:bottom w:val="nil"/>
              <w:right w:val="nil"/>
            </w:tcBorders>
            <w:tcMar>
              <w:top w:w="0" w:type="dxa"/>
              <w:left w:w="100" w:type="dxa"/>
              <w:bottom w:w="0" w:type="dxa"/>
              <w:right w:w="100" w:type="dxa"/>
            </w:tcMar>
          </w:tcPr>
          <w:p w14:paraId="4B6FE5CF" w14:textId="77777777" w:rsidR="00340A38" w:rsidRDefault="00000000">
            <w:pPr>
              <w:spacing w:after="0" w:line="240" w:lineRule="auto"/>
              <w:rPr>
                <w:sz w:val="18"/>
                <w:szCs w:val="18"/>
              </w:rPr>
            </w:pPr>
            <w:r>
              <w:rPr>
                <w:sz w:val="18"/>
                <w:szCs w:val="18"/>
              </w:rPr>
              <w:t>-0.7498694</w:t>
            </w:r>
            <w:r>
              <w:rPr>
                <w:sz w:val="18"/>
                <w:szCs w:val="18"/>
                <w:vertAlign w:val="superscript"/>
              </w:rPr>
              <w:t>***</w:t>
            </w:r>
          </w:p>
        </w:tc>
      </w:tr>
      <w:tr w:rsidR="00340A38" w14:paraId="1961D90E" w14:textId="77777777">
        <w:trPr>
          <w:trHeight w:val="300"/>
        </w:trPr>
        <w:tc>
          <w:tcPr>
            <w:tcW w:w="1622" w:type="dxa"/>
            <w:tcBorders>
              <w:top w:val="nil"/>
              <w:left w:val="nil"/>
              <w:bottom w:val="nil"/>
              <w:right w:val="nil"/>
            </w:tcBorders>
            <w:tcMar>
              <w:top w:w="0" w:type="dxa"/>
              <w:left w:w="100" w:type="dxa"/>
              <w:bottom w:w="0" w:type="dxa"/>
              <w:right w:w="100" w:type="dxa"/>
            </w:tcMar>
          </w:tcPr>
          <w:p w14:paraId="307130E2" w14:textId="77777777" w:rsidR="00340A38" w:rsidRDefault="00000000">
            <w:pPr>
              <w:spacing w:after="0" w:line="240" w:lineRule="auto"/>
              <w:rPr>
                <w:sz w:val="18"/>
                <w:szCs w:val="18"/>
              </w:rPr>
            </w:pPr>
            <w:r>
              <w:rPr>
                <w:sz w:val="18"/>
                <w:szCs w:val="18"/>
              </w:rPr>
              <w:t xml:space="preserve"> </w:t>
            </w:r>
          </w:p>
        </w:tc>
        <w:tc>
          <w:tcPr>
            <w:tcW w:w="1934" w:type="dxa"/>
            <w:tcBorders>
              <w:top w:val="nil"/>
              <w:left w:val="nil"/>
              <w:bottom w:val="nil"/>
              <w:right w:val="nil"/>
            </w:tcBorders>
            <w:tcMar>
              <w:top w:w="0" w:type="dxa"/>
              <w:left w:w="100" w:type="dxa"/>
              <w:bottom w:w="0" w:type="dxa"/>
              <w:right w:w="100" w:type="dxa"/>
            </w:tcMar>
          </w:tcPr>
          <w:p w14:paraId="016D0ED8" w14:textId="77777777" w:rsidR="00340A38" w:rsidRDefault="00000000">
            <w:pPr>
              <w:spacing w:after="0" w:line="240" w:lineRule="auto"/>
              <w:rPr>
                <w:sz w:val="18"/>
                <w:szCs w:val="18"/>
              </w:rPr>
            </w:pPr>
            <w:r>
              <w:rPr>
                <w:sz w:val="18"/>
                <w:szCs w:val="18"/>
              </w:rPr>
              <w:t>(-169.11)</w:t>
            </w:r>
          </w:p>
        </w:tc>
        <w:tc>
          <w:tcPr>
            <w:tcW w:w="1934" w:type="dxa"/>
            <w:tcBorders>
              <w:top w:val="nil"/>
              <w:left w:val="nil"/>
              <w:bottom w:val="nil"/>
              <w:right w:val="nil"/>
            </w:tcBorders>
            <w:tcMar>
              <w:top w:w="0" w:type="dxa"/>
              <w:left w:w="100" w:type="dxa"/>
              <w:bottom w:w="0" w:type="dxa"/>
              <w:right w:w="100" w:type="dxa"/>
            </w:tcMar>
          </w:tcPr>
          <w:p w14:paraId="4FDF258C" w14:textId="77777777" w:rsidR="00340A38" w:rsidRDefault="00000000">
            <w:pPr>
              <w:spacing w:after="0" w:line="240" w:lineRule="auto"/>
              <w:rPr>
                <w:sz w:val="18"/>
                <w:szCs w:val="18"/>
              </w:rPr>
            </w:pPr>
            <w:r>
              <w:rPr>
                <w:sz w:val="18"/>
                <w:szCs w:val="18"/>
              </w:rPr>
              <w:t>(-200.19)</w:t>
            </w:r>
          </w:p>
        </w:tc>
        <w:tc>
          <w:tcPr>
            <w:tcW w:w="1934" w:type="dxa"/>
            <w:tcBorders>
              <w:top w:val="nil"/>
              <w:left w:val="nil"/>
              <w:bottom w:val="nil"/>
              <w:right w:val="nil"/>
            </w:tcBorders>
            <w:tcMar>
              <w:top w:w="0" w:type="dxa"/>
              <w:left w:w="100" w:type="dxa"/>
              <w:bottom w:w="0" w:type="dxa"/>
              <w:right w:w="100" w:type="dxa"/>
            </w:tcMar>
          </w:tcPr>
          <w:p w14:paraId="3EB044BA" w14:textId="77777777" w:rsidR="00340A38" w:rsidRDefault="00000000">
            <w:pPr>
              <w:spacing w:after="0" w:line="240" w:lineRule="auto"/>
              <w:rPr>
                <w:sz w:val="18"/>
                <w:szCs w:val="18"/>
              </w:rPr>
            </w:pPr>
            <w:r>
              <w:rPr>
                <w:sz w:val="18"/>
                <w:szCs w:val="18"/>
              </w:rPr>
              <w:t>(-83.35)</w:t>
            </w:r>
          </w:p>
        </w:tc>
        <w:tc>
          <w:tcPr>
            <w:tcW w:w="1934" w:type="dxa"/>
            <w:tcBorders>
              <w:top w:val="nil"/>
              <w:left w:val="nil"/>
              <w:bottom w:val="nil"/>
              <w:right w:val="nil"/>
            </w:tcBorders>
            <w:tcMar>
              <w:top w:w="0" w:type="dxa"/>
              <w:left w:w="100" w:type="dxa"/>
              <w:bottom w:w="0" w:type="dxa"/>
              <w:right w:w="100" w:type="dxa"/>
            </w:tcMar>
          </w:tcPr>
          <w:p w14:paraId="0B4962D9" w14:textId="77777777" w:rsidR="00340A38" w:rsidRDefault="00000000">
            <w:pPr>
              <w:spacing w:after="0" w:line="240" w:lineRule="auto"/>
              <w:rPr>
                <w:sz w:val="18"/>
                <w:szCs w:val="18"/>
              </w:rPr>
            </w:pPr>
            <w:r>
              <w:rPr>
                <w:sz w:val="18"/>
                <w:szCs w:val="18"/>
              </w:rPr>
              <w:t>(-83.86)</w:t>
            </w:r>
          </w:p>
        </w:tc>
      </w:tr>
      <w:tr w:rsidR="00340A38" w14:paraId="1D9A2FBC" w14:textId="77777777">
        <w:trPr>
          <w:trHeight w:val="240"/>
        </w:trPr>
        <w:tc>
          <w:tcPr>
            <w:tcW w:w="1622" w:type="dxa"/>
            <w:tcBorders>
              <w:top w:val="nil"/>
              <w:left w:val="nil"/>
              <w:bottom w:val="nil"/>
              <w:right w:val="nil"/>
            </w:tcBorders>
            <w:tcMar>
              <w:top w:w="0" w:type="dxa"/>
              <w:left w:w="100" w:type="dxa"/>
              <w:bottom w:w="0" w:type="dxa"/>
              <w:right w:w="100" w:type="dxa"/>
            </w:tcMar>
          </w:tcPr>
          <w:p w14:paraId="59D0A6BB" w14:textId="77777777" w:rsidR="00340A38" w:rsidRDefault="00000000">
            <w:pPr>
              <w:spacing w:after="0" w:line="240" w:lineRule="auto"/>
              <w:rPr>
                <w:sz w:val="18"/>
                <w:szCs w:val="18"/>
              </w:rPr>
            </w:pPr>
            <w:r>
              <w:rPr>
                <w:sz w:val="18"/>
                <w:szCs w:val="18"/>
              </w:rPr>
              <w:t>CON</w:t>
            </w:r>
          </w:p>
        </w:tc>
        <w:tc>
          <w:tcPr>
            <w:tcW w:w="1934" w:type="dxa"/>
            <w:tcBorders>
              <w:top w:val="nil"/>
              <w:left w:val="nil"/>
              <w:bottom w:val="nil"/>
              <w:right w:val="nil"/>
            </w:tcBorders>
            <w:tcMar>
              <w:top w:w="0" w:type="dxa"/>
              <w:left w:w="100" w:type="dxa"/>
              <w:bottom w:w="0" w:type="dxa"/>
              <w:right w:w="100" w:type="dxa"/>
            </w:tcMar>
          </w:tcPr>
          <w:p w14:paraId="34993A10" w14:textId="77777777" w:rsidR="00340A38" w:rsidRDefault="00000000">
            <w:pPr>
              <w:spacing w:after="0" w:line="240" w:lineRule="auto"/>
              <w:rPr>
                <w:sz w:val="18"/>
                <w:szCs w:val="18"/>
                <w:vertAlign w:val="superscript"/>
              </w:rPr>
            </w:pPr>
            <w:r>
              <w:rPr>
                <w:sz w:val="18"/>
                <w:szCs w:val="18"/>
              </w:rPr>
              <w:t>0.7013693</w:t>
            </w:r>
            <w:r>
              <w:rPr>
                <w:sz w:val="18"/>
                <w:szCs w:val="18"/>
                <w:vertAlign w:val="superscript"/>
              </w:rPr>
              <w:t>***</w:t>
            </w:r>
          </w:p>
        </w:tc>
        <w:tc>
          <w:tcPr>
            <w:tcW w:w="1934" w:type="dxa"/>
            <w:tcBorders>
              <w:top w:val="nil"/>
              <w:left w:val="nil"/>
              <w:bottom w:val="nil"/>
              <w:right w:val="nil"/>
            </w:tcBorders>
            <w:tcMar>
              <w:top w:w="0" w:type="dxa"/>
              <w:left w:w="100" w:type="dxa"/>
              <w:bottom w:w="0" w:type="dxa"/>
              <w:right w:w="100" w:type="dxa"/>
            </w:tcMar>
          </w:tcPr>
          <w:p w14:paraId="75554164" w14:textId="77777777" w:rsidR="00340A38" w:rsidRDefault="00000000">
            <w:pPr>
              <w:spacing w:after="0" w:line="240" w:lineRule="auto"/>
              <w:rPr>
                <w:sz w:val="18"/>
                <w:szCs w:val="18"/>
              </w:rPr>
            </w:pPr>
            <w:r>
              <w:rPr>
                <w:sz w:val="18"/>
                <w:szCs w:val="18"/>
              </w:rPr>
              <w:t>1.531642</w:t>
            </w:r>
            <w:r>
              <w:rPr>
                <w:sz w:val="18"/>
                <w:szCs w:val="18"/>
                <w:vertAlign w:val="superscript"/>
              </w:rPr>
              <w:t>***</w:t>
            </w:r>
          </w:p>
        </w:tc>
        <w:tc>
          <w:tcPr>
            <w:tcW w:w="1934" w:type="dxa"/>
            <w:tcBorders>
              <w:top w:val="nil"/>
              <w:left w:val="nil"/>
              <w:bottom w:val="nil"/>
              <w:right w:val="nil"/>
            </w:tcBorders>
            <w:tcMar>
              <w:top w:w="0" w:type="dxa"/>
              <w:left w:w="100" w:type="dxa"/>
              <w:bottom w:w="0" w:type="dxa"/>
              <w:right w:w="100" w:type="dxa"/>
            </w:tcMar>
          </w:tcPr>
          <w:p w14:paraId="62BA8167" w14:textId="77777777" w:rsidR="00340A38" w:rsidRDefault="00000000">
            <w:pPr>
              <w:spacing w:after="0" w:line="240" w:lineRule="auto"/>
              <w:rPr>
                <w:sz w:val="18"/>
                <w:szCs w:val="18"/>
                <w:vertAlign w:val="superscript"/>
              </w:rPr>
            </w:pPr>
            <w:r>
              <w:rPr>
                <w:sz w:val="18"/>
                <w:szCs w:val="18"/>
              </w:rPr>
              <w:t>0.5644059</w:t>
            </w:r>
            <w:r>
              <w:rPr>
                <w:sz w:val="18"/>
                <w:szCs w:val="18"/>
                <w:vertAlign w:val="superscript"/>
              </w:rPr>
              <w:t>***</w:t>
            </w:r>
          </w:p>
        </w:tc>
        <w:tc>
          <w:tcPr>
            <w:tcW w:w="1934" w:type="dxa"/>
            <w:tcBorders>
              <w:top w:val="nil"/>
              <w:left w:val="nil"/>
              <w:bottom w:val="nil"/>
              <w:right w:val="nil"/>
            </w:tcBorders>
            <w:tcMar>
              <w:top w:w="0" w:type="dxa"/>
              <w:left w:w="100" w:type="dxa"/>
              <w:bottom w:w="0" w:type="dxa"/>
              <w:right w:w="100" w:type="dxa"/>
            </w:tcMar>
          </w:tcPr>
          <w:p w14:paraId="280331CC" w14:textId="77777777" w:rsidR="00340A38" w:rsidRDefault="00000000">
            <w:pPr>
              <w:spacing w:after="0" w:line="240" w:lineRule="auto"/>
              <w:rPr>
                <w:sz w:val="18"/>
                <w:szCs w:val="18"/>
              </w:rPr>
            </w:pPr>
            <w:r>
              <w:rPr>
                <w:sz w:val="18"/>
                <w:szCs w:val="18"/>
              </w:rPr>
              <w:t xml:space="preserve"> 0.9671877</w:t>
            </w:r>
            <w:r>
              <w:rPr>
                <w:sz w:val="18"/>
                <w:szCs w:val="18"/>
                <w:vertAlign w:val="superscript"/>
              </w:rPr>
              <w:t>***</w:t>
            </w:r>
          </w:p>
        </w:tc>
      </w:tr>
      <w:tr w:rsidR="00340A38" w14:paraId="756EB4FA" w14:textId="77777777">
        <w:trPr>
          <w:trHeight w:val="285"/>
        </w:trPr>
        <w:tc>
          <w:tcPr>
            <w:tcW w:w="1622" w:type="dxa"/>
            <w:tcBorders>
              <w:top w:val="nil"/>
              <w:left w:val="nil"/>
              <w:bottom w:val="single" w:sz="6" w:space="0" w:color="000000"/>
              <w:right w:val="nil"/>
            </w:tcBorders>
            <w:tcMar>
              <w:top w:w="0" w:type="dxa"/>
              <w:left w:w="100" w:type="dxa"/>
              <w:bottom w:w="0" w:type="dxa"/>
              <w:right w:w="100" w:type="dxa"/>
            </w:tcMar>
          </w:tcPr>
          <w:p w14:paraId="3F2603DB" w14:textId="77777777" w:rsidR="00340A38" w:rsidRDefault="00000000">
            <w:pPr>
              <w:spacing w:after="0" w:line="240" w:lineRule="auto"/>
              <w:rPr>
                <w:sz w:val="18"/>
                <w:szCs w:val="18"/>
              </w:rPr>
            </w:pPr>
            <w:r>
              <w:rPr>
                <w:sz w:val="18"/>
                <w:szCs w:val="18"/>
              </w:rPr>
              <w:t xml:space="preserve"> </w:t>
            </w:r>
          </w:p>
        </w:tc>
        <w:tc>
          <w:tcPr>
            <w:tcW w:w="1934" w:type="dxa"/>
            <w:tcBorders>
              <w:top w:val="nil"/>
              <w:left w:val="nil"/>
              <w:bottom w:val="single" w:sz="6" w:space="0" w:color="000000"/>
              <w:right w:val="nil"/>
            </w:tcBorders>
            <w:tcMar>
              <w:top w:w="0" w:type="dxa"/>
              <w:left w:w="100" w:type="dxa"/>
              <w:bottom w:w="0" w:type="dxa"/>
              <w:right w:w="100" w:type="dxa"/>
            </w:tcMar>
          </w:tcPr>
          <w:p w14:paraId="306ECA1E" w14:textId="77777777" w:rsidR="00340A38" w:rsidRDefault="00000000">
            <w:pPr>
              <w:spacing w:after="0" w:line="240" w:lineRule="auto"/>
              <w:rPr>
                <w:sz w:val="18"/>
                <w:szCs w:val="18"/>
              </w:rPr>
            </w:pPr>
            <w:r>
              <w:rPr>
                <w:sz w:val="18"/>
                <w:szCs w:val="18"/>
              </w:rPr>
              <w:t>(18.99)</w:t>
            </w:r>
          </w:p>
        </w:tc>
        <w:tc>
          <w:tcPr>
            <w:tcW w:w="1934" w:type="dxa"/>
            <w:tcBorders>
              <w:top w:val="nil"/>
              <w:left w:val="nil"/>
              <w:bottom w:val="single" w:sz="6" w:space="0" w:color="000000"/>
              <w:right w:val="nil"/>
            </w:tcBorders>
            <w:tcMar>
              <w:top w:w="0" w:type="dxa"/>
              <w:left w:w="100" w:type="dxa"/>
              <w:bottom w:w="0" w:type="dxa"/>
              <w:right w:w="100" w:type="dxa"/>
            </w:tcMar>
          </w:tcPr>
          <w:p w14:paraId="254CA768" w14:textId="77777777" w:rsidR="00340A38" w:rsidRDefault="00000000">
            <w:pPr>
              <w:spacing w:after="0" w:line="240" w:lineRule="auto"/>
              <w:rPr>
                <w:sz w:val="18"/>
                <w:szCs w:val="18"/>
              </w:rPr>
            </w:pPr>
            <w:r>
              <w:rPr>
                <w:sz w:val="18"/>
                <w:szCs w:val="18"/>
              </w:rPr>
              <w:t>(39.26)</w:t>
            </w:r>
          </w:p>
        </w:tc>
        <w:tc>
          <w:tcPr>
            <w:tcW w:w="1934" w:type="dxa"/>
            <w:tcBorders>
              <w:top w:val="nil"/>
              <w:left w:val="nil"/>
              <w:bottom w:val="single" w:sz="6" w:space="0" w:color="000000"/>
              <w:right w:val="nil"/>
            </w:tcBorders>
            <w:tcMar>
              <w:top w:w="0" w:type="dxa"/>
              <w:left w:w="100" w:type="dxa"/>
              <w:bottom w:w="0" w:type="dxa"/>
              <w:right w:w="100" w:type="dxa"/>
            </w:tcMar>
          </w:tcPr>
          <w:p w14:paraId="08BF17B4" w14:textId="77777777" w:rsidR="00340A38" w:rsidRDefault="00000000">
            <w:pPr>
              <w:spacing w:after="0" w:line="240" w:lineRule="auto"/>
              <w:rPr>
                <w:sz w:val="18"/>
                <w:szCs w:val="18"/>
              </w:rPr>
            </w:pPr>
            <w:r>
              <w:rPr>
                <w:sz w:val="18"/>
                <w:szCs w:val="18"/>
              </w:rPr>
              <w:t>(13.00)</w:t>
            </w:r>
          </w:p>
        </w:tc>
        <w:tc>
          <w:tcPr>
            <w:tcW w:w="1934" w:type="dxa"/>
            <w:tcBorders>
              <w:top w:val="nil"/>
              <w:left w:val="nil"/>
              <w:bottom w:val="single" w:sz="6" w:space="0" w:color="000000"/>
              <w:right w:val="nil"/>
            </w:tcBorders>
            <w:tcMar>
              <w:top w:w="0" w:type="dxa"/>
              <w:left w:w="100" w:type="dxa"/>
              <w:bottom w:w="0" w:type="dxa"/>
              <w:right w:w="100" w:type="dxa"/>
            </w:tcMar>
          </w:tcPr>
          <w:p w14:paraId="25FCFC7B" w14:textId="77777777" w:rsidR="00340A38" w:rsidRDefault="00000000">
            <w:pPr>
              <w:spacing w:after="0" w:line="240" w:lineRule="auto"/>
              <w:rPr>
                <w:sz w:val="18"/>
                <w:szCs w:val="18"/>
              </w:rPr>
            </w:pPr>
            <w:r>
              <w:rPr>
                <w:sz w:val="18"/>
                <w:szCs w:val="18"/>
              </w:rPr>
              <w:t>(20.97)</w:t>
            </w:r>
          </w:p>
        </w:tc>
      </w:tr>
      <w:tr w:rsidR="00340A38" w14:paraId="7F717FAC" w14:textId="77777777">
        <w:trPr>
          <w:trHeight w:val="195"/>
        </w:trPr>
        <w:tc>
          <w:tcPr>
            <w:tcW w:w="1622" w:type="dxa"/>
            <w:tcBorders>
              <w:top w:val="nil"/>
              <w:left w:val="nil"/>
              <w:bottom w:val="nil"/>
              <w:right w:val="nil"/>
            </w:tcBorders>
            <w:tcMar>
              <w:top w:w="0" w:type="dxa"/>
              <w:left w:w="100" w:type="dxa"/>
              <w:bottom w:w="0" w:type="dxa"/>
              <w:right w:w="100" w:type="dxa"/>
            </w:tcMar>
          </w:tcPr>
          <w:p w14:paraId="3321C0CD" w14:textId="77777777" w:rsidR="00340A38" w:rsidRDefault="00000000">
            <w:pPr>
              <w:spacing w:after="0" w:line="240" w:lineRule="auto"/>
              <w:rPr>
                <w:sz w:val="18"/>
                <w:szCs w:val="18"/>
              </w:rPr>
            </w:pPr>
            <w:r>
              <w:rPr>
                <w:sz w:val="18"/>
                <w:szCs w:val="18"/>
              </w:rPr>
              <w:t>N</w:t>
            </w:r>
          </w:p>
        </w:tc>
        <w:tc>
          <w:tcPr>
            <w:tcW w:w="1934" w:type="dxa"/>
            <w:tcBorders>
              <w:top w:val="nil"/>
              <w:left w:val="nil"/>
              <w:bottom w:val="nil"/>
              <w:right w:val="nil"/>
            </w:tcBorders>
            <w:tcMar>
              <w:top w:w="0" w:type="dxa"/>
              <w:left w:w="100" w:type="dxa"/>
              <w:bottom w:w="0" w:type="dxa"/>
              <w:right w:w="100" w:type="dxa"/>
            </w:tcMar>
          </w:tcPr>
          <w:p w14:paraId="30EE3431" w14:textId="77777777" w:rsidR="00340A38" w:rsidRDefault="00000000">
            <w:pPr>
              <w:spacing w:after="0" w:line="240" w:lineRule="auto"/>
              <w:rPr>
                <w:sz w:val="18"/>
                <w:szCs w:val="18"/>
              </w:rPr>
            </w:pPr>
            <w:r>
              <w:rPr>
                <w:sz w:val="18"/>
                <w:szCs w:val="18"/>
              </w:rPr>
              <w:t>4,494</w:t>
            </w:r>
          </w:p>
        </w:tc>
        <w:tc>
          <w:tcPr>
            <w:tcW w:w="1934" w:type="dxa"/>
            <w:tcBorders>
              <w:top w:val="nil"/>
              <w:left w:val="nil"/>
              <w:bottom w:val="nil"/>
              <w:right w:val="nil"/>
            </w:tcBorders>
            <w:tcMar>
              <w:top w:w="0" w:type="dxa"/>
              <w:left w:w="100" w:type="dxa"/>
              <w:bottom w:w="0" w:type="dxa"/>
              <w:right w:w="100" w:type="dxa"/>
            </w:tcMar>
          </w:tcPr>
          <w:p w14:paraId="3D550CB9" w14:textId="77777777" w:rsidR="00340A38" w:rsidRDefault="00000000">
            <w:pPr>
              <w:spacing w:after="0" w:line="240" w:lineRule="auto"/>
              <w:rPr>
                <w:sz w:val="18"/>
                <w:szCs w:val="18"/>
              </w:rPr>
            </w:pPr>
            <w:r>
              <w:rPr>
                <w:sz w:val="18"/>
                <w:szCs w:val="18"/>
              </w:rPr>
              <w:t>4,494</w:t>
            </w:r>
          </w:p>
        </w:tc>
        <w:tc>
          <w:tcPr>
            <w:tcW w:w="1934" w:type="dxa"/>
            <w:tcBorders>
              <w:top w:val="nil"/>
              <w:left w:val="nil"/>
              <w:bottom w:val="nil"/>
              <w:right w:val="nil"/>
            </w:tcBorders>
            <w:tcMar>
              <w:top w:w="0" w:type="dxa"/>
              <w:left w:w="100" w:type="dxa"/>
              <w:bottom w:w="0" w:type="dxa"/>
              <w:right w:w="100" w:type="dxa"/>
            </w:tcMar>
          </w:tcPr>
          <w:p w14:paraId="02D5F5A5" w14:textId="77777777" w:rsidR="00340A38" w:rsidRDefault="00000000">
            <w:pPr>
              <w:spacing w:after="0" w:line="240" w:lineRule="auto"/>
              <w:rPr>
                <w:sz w:val="18"/>
                <w:szCs w:val="18"/>
              </w:rPr>
            </w:pPr>
            <w:r>
              <w:rPr>
                <w:sz w:val="18"/>
                <w:szCs w:val="18"/>
              </w:rPr>
              <w:t>2,911</w:t>
            </w:r>
          </w:p>
        </w:tc>
        <w:tc>
          <w:tcPr>
            <w:tcW w:w="1934" w:type="dxa"/>
            <w:tcBorders>
              <w:top w:val="nil"/>
              <w:left w:val="nil"/>
              <w:bottom w:val="nil"/>
              <w:right w:val="nil"/>
            </w:tcBorders>
            <w:tcMar>
              <w:top w:w="0" w:type="dxa"/>
              <w:left w:w="100" w:type="dxa"/>
              <w:bottom w:w="0" w:type="dxa"/>
              <w:right w:w="100" w:type="dxa"/>
            </w:tcMar>
          </w:tcPr>
          <w:p w14:paraId="653D65A6" w14:textId="77777777" w:rsidR="00340A38" w:rsidRDefault="00000000">
            <w:pPr>
              <w:spacing w:after="0" w:line="240" w:lineRule="auto"/>
              <w:rPr>
                <w:sz w:val="18"/>
                <w:szCs w:val="18"/>
              </w:rPr>
            </w:pPr>
            <w:r>
              <w:rPr>
                <w:sz w:val="18"/>
                <w:szCs w:val="18"/>
              </w:rPr>
              <w:t>2,911</w:t>
            </w:r>
          </w:p>
        </w:tc>
      </w:tr>
      <w:tr w:rsidR="00340A38" w14:paraId="00A64CD5" w14:textId="77777777">
        <w:trPr>
          <w:trHeight w:val="210"/>
        </w:trPr>
        <w:tc>
          <w:tcPr>
            <w:tcW w:w="1622" w:type="dxa"/>
            <w:tcBorders>
              <w:top w:val="nil"/>
              <w:left w:val="nil"/>
              <w:bottom w:val="nil"/>
              <w:right w:val="nil"/>
            </w:tcBorders>
            <w:tcMar>
              <w:top w:w="0" w:type="dxa"/>
              <w:left w:w="100" w:type="dxa"/>
              <w:bottom w:w="0" w:type="dxa"/>
              <w:right w:w="100" w:type="dxa"/>
            </w:tcMar>
          </w:tcPr>
          <w:p w14:paraId="403BEFAE" w14:textId="77777777" w:rsidR="00340A38" w:rsidRDefault="00000000">
            <w:pPr>
              <w:spacing w:after="0" w:line="240" w:lineRule="auto"/>
              <w:rPr>
                <w:sz w:val="18"/>
                <w:szCs w:val="18"/>
                <w:vertAlign w:val="superscript"/>
              </w:rPr>
            </w:pPr>
            <w:r>
              <w:rPr>
                <w:sz w:val="18"/>
                <w:szCs w:val="18"/>
              </w:rPr>
              <w:t>adj. R</w:t>
            </w:r>
            <w:r>
              <w:rPr>
                <w:sz w:val="18"/>
                <w:szCs w:val="18"/>
                <w:vertAlign w:val="superscript"/>
              </w:rPr>
              <w:t>2</w:t>
            </w:r>
          </w:p>
        </w:tc>
        <w:tc>
          <w:tcPr>
            <w:tcW w:w="1934" w:type="dxa"/>
            <w:tcBorders>
              <w:top w:val="nil"/>
              <w:left w:val="nil"/>
              <w:bottom w:val="nil"/>
              <w:right w:val="nil"/>
            </w:tcBorders>
            <w:tcMar>
              <w:top w:w="0" w:type="dxa"/>
              <w:left w:w="100" w:type="dxa"/>
              <w:bottom w:w="0" w:type="dxa"/>
              <w:right w:w="100" w:type="dxa"/>
            </w:tcMar>
          </w:tcPr>
          <w:p w14:paraId="5666CC56" w14:textId="77777777" w:rsidR="00340A38" w:rsidRDefault="00000000">
            <w:pPr>
              <w:spacing w:after="0" w:line="240" w:lineRule="auto"/>
              <w:rPr>
                <w:sz w:val="18"/>
                <w:szCs w:val="18"/>
              </w:rPr>
            </w:pPr>
            <w:r>
              <w:rPr>
                <w:sz w:val="18"/>
                <w:szCs w:val="18"/>
              </w:rPr>
              <w:t>0.8812</w:t>
            </w:r>
          </w:p>
        </w:tc>
        <w:tc>
          <w:tcPr>
            <w:tcW w:w="1934" w:type="dxa"/>
            <w:tcBorders>
              <w:top w:val="nil"/>
              <w:left w:val="nil"/>
              <w:bottom w:val="nil"/>
              <w:right w:val="nil"/>
            </w:tcBorders>
            <w:tcMar>
              <w:top w:w="0" w:type="dxa"/>
              <w:left w:w="100" w:type="dxa"/>
              <w:bottom w:w="0" w:type="dxa"/>
              <w:right w:w="100" w:type="dxa"/>
            </w:tcMar>
          </w:tcPr>
          <w:p w14:paraId="40B9EF2F" w14:textId="77777777" w:rsidR="00340A38" w:rsidRDefault="00340A38">
            <w:pPr>
              <w:spacing w:after="0" w:line="240" w:lineRule="auto"/>
              <w:rPr>
                <w:sz w:val="18"/>
                <w:szCs w:val="18"/>
              </w:rPr>
            </w:pPr>
          </w:p>
        </w:tc>
        <w:tc>
          <w:tcPr>
            <w:tcW w:w="1934" w:type="dxa"/>
            <w:tcBorders>
              <w:top w:val="nil"/>
              <w:left w:val="nil"/>
              <w:bottom w:val="nil"/>
              <w:right w:val="nil"/>
            </w:tcBorders>
            <w:tcMar>
              <w:top w:w="0" w:type="dxa"/>
              <w:left w:w="100" w:type="dxa"/>
              <w:bottom w:w="0" w:type="dxa"/>
              <w:right w:w="100" w:type="dxa"/>
            </w:tcMar>
          </w:tcPr>
          <w:p w14:paraId="3819C627" w14:textId="77777777" w:rsidR="00340A38" w:rsidRDefault="00000000">
            <w:pPr>
              <w:spacing w:after="0" w:line="240" w:lineRule="auto"/>
              <w:rPr>
                <w:sz w:val="18"/>
                <w:szCs w:val="18"/>
              </w:rPr>
            </w:pPr>
            <w:r>
              <w:rPr>
                <w:sz w:val="18"/>
                <w:szCs w:val="18"/>
              </w:rPr>
              <w:t>0.8039</w:t>
            </w:r>
          </w:p>
        </w:tc>
        <w:tc>
          <w:tcPr>
            <w:tcW w:w="1934" w:type="dxa"/>
            <w:tcBorders>
              <w:top w:val="nil"/>
              <w:left w:val="nil"/>
              <w:bottom w:val="nil"/>
              <w:right w:val="nil"/>
            </w:tcBorders>
            <w:tcMar>
              <w:top w:w="0" w:type="dxa"/>
              <w:left w:w="100" w:type="dxa"/>
              <w:bottom w:w="0" w:type="dxa"/>
              <w:right w:w="100" w:type="dxa"/>
            </w:tcMar>
          </w:tcPr>
          <w:p w14:paraId="4FD3851B" w14:textId="77777777" w:rsidR="00340A38" w:rsidRDefault="00340A38">
            <w:pPr>
              <w:spacing w:after="0" w:line="240" w:lineRule="auto"/>
              <w:rPr>
                <w:sz w:val="18"/>
                <w:szCs w:val="18"/>
              </w:rPr>
            </w:pPr>
          </w:p>
        </w:tc>
      </w:tr>
      <w:tr w:rsidR="00340A38" w14:paraId="66FEDB4C" w14:textId="77777777">
        <w:trPr>
          <w:trHeight w:val="255"/>
        </w:trPr>
        <w:tc>
          <w:tcPr>
            <w:tcW w:w="1622" w:type="dxa"/>
            <w:tcBorders>
              <w:top w:val="nil"/>
              <w:left w:val="nil"/>
              <w:bottom w:val="nil"/>
              <w:right w:val="nil"/>
            </w:tcBorders>
            <w:tcMar>
              <w:top w:w="0" w:type="dxa"/>
              <w:left w:w="100" w:type="dxa"/>
              <w:bottom w:w="0" w:type="dxa"/>
              <w:right w:w="100" w:type="dxa"/>
            </w:tcMar>
          </w:tcPr>
          <w:p w14:paraId="06DE29B3" w14:textId="77777777" w:rsidR="00340A38" w:rsidRDefault="00000000">
            <w:pPr>
              <w:spacing w:after="0" w:line="240" w:lineRule="auto"/>
              <w:rPr>
                <w:sz w:val="18"/>
                <w:szCs w:val="18"/>
              </w:rPr>
            </w:pPr>
            <w:r>
              <w:rPr>
                <w:sz w:val="18"/>
                <w:szCs w:val="18"/>
              </w:rPr>
              <w:t>Industry Fe</w:t>
            </w:r>
          </w:p>
          <w:p w14:paraId="13F272DA" w14:textId="77777777" w:rsidR="00340A38" w:rsidRDefault="00000000">
            <w:pPr>
              <w:spacing w:after="0" w:line="240" w:lineRule="auto"/>
              <w:rPr>
                <w:sz w:val="18"/>
                <w:szCs w:val="18"/>
              </w:rPr>
            </w:pPr>
            <w:r>
              <w:rPr>
                <w:sz w:val="18"/>
                <w:szCs w:val="18"/>
              </w:rPr>
              <w:t>Firm Fe</w:t>
            </w:r>
          </w:p>
        </w:tc>
        <w:tc>
          <w:tcPr>
            <w:tcW w:w="1934" w:type="dxa"/>
            <w:tcBorders>
              <w:top w:val="nil"/>
              <w:left w:val="nil"/>
              <w:bottom w:val="nil"/>
              <w:right w:val="nil"/>
            </w:tcBorders>
            <w:tcMar>
              <w:top w:w="0" w:type="dxa"/>
              <w:left w:w="100" w:type="dxa"/>
              <w:bottom w:w="0" w:type="dxa"/>
              <w:right w:w="100" w:type="dxa"/>
            </w:tcMar>
          </w:tcPr>
          <w:p w14:paraId="572CC45D" w14:textId="77777777" w:rsidR="00340A38" w:rsidRDefault="00000000">
            <w:pPr>
              <w:spacing w:after="0" w:line="240" w:lineRule="auto"/>
              <w:rPr>
                <w:sz w:val="18"/>
                <w:szCs w:val="18"/>
              </w:rPr>
            </w:pPr>
            <w:r>
              <w:rPr>
                <w:sz w:val="18"/>
                <w:szCs w:val="18"/>
              </w:rPr>
              <w:t xml:space="preserve"> No</w:t>
            </w:r>
          </w:p>
          <w:p w14:paraId="6B75F797" w14:textId="77777777" w:rsidR="00340A38" w:rsidRDefault="00000000">
            <w:pPr>
              <w:spacing w:after="0" w:line="240" w:lineRule="auto"/>
              <w:rPr>
                <w:sz w:val="18"/>
                <w:szCs w:val="18"/>
              </w:rPr>
            </w:pPr>
            <w:r>
              <w:rPr>
                <w:sz w:val="18"/>
                <w:szCs w:val="18"/>
              </w:rPr>
              <w:t xml:space="preserve"> No</w:t>
            </w:r>
          </w:p>
        </w:tc>
        <w:tc>
          <w:tcPr>
            <w:tcW w:w="1934" w:type="dxa"/>
            <w:tcBorders>
              <w:top w:val="nil"/>
              <w:left w:val="nil"/>
              <w:bottom w:val="nil"/>
              <w:right w:val="nil"/>
            </w:tcBorders>
            <w:tcMar>
              <w:top w:w="0" w:type="dxa"/>
              <w:left w:w="100" w:type="dxa"/>
              <w:bottom w:w="0" w:type="dxa"/>
              <w:right w:w="100" w:type="dxa"/>
            </w:tcMar>
          </w:tcPr>
          <w:p w14:paraId="27A84F3F" w14:textId="77777777" w:rsidR="00340A38" w:rsidRDefault="00000000">
            <w:pPr>
              <w:spacing w:after="0" w:line="240" w:lineRule="auto"/>
              <w:rPr>
                <w:sz w:val="18"/>
                <w:szCs w:val="18"/>
              </w:rPr>
            </w:pPr>
            <w:r>
              <w:rPr>
                <w:sz w:val="18"/>
                <w:szCs w:val="18"/>
              </w:rPr>
              <w:t>Yes</w:t>
            </w:r>
          </w:p>
          <w:p w14:paraId="7EF4F33B" w14:textId="77777777" w:rsidR="00340A38" w:rsidRDefault="00000000">
            <w:pPr>
              <w:spacing w:after="0" w:line="240" w:lineRule="auto"/>
              <w:rPr>
                <w:sz w:val="18"/>
                <w:szCs w:val="18"/>
              </w:rPr>
            </w:pPr>
            <w:r>
              <w:rPr>
                <w:sz w:val="18"/>
                <w:szCs w:val="18"/>
              </w:rPr>
              <w:t>Yes</w:t>
            </w:r>
          </w:p>
        </w:tc>
        <w:tc>
          <w:tcPr>
            <w:tcW w:w="1934" w:type="dxa"/>
            <w:tcBorders>
              <w:top w:val="nil"/>
              <w:left w:val="nil"/>
              <w:bottom w:val="nil"/>
              <w:right w:val="nil"/>
            </w:tcBorders>
            <w:tcMar>
              <w:top w:w="0" w:type="dxa"/>
              <w:left w:w="100" w:type="dxa"/>
              <w:bottom w:w="0" w:type="dxa"/>
              <w:right w:w="100" w:type="dxa"/>
            </w:tcMar>
          </w:tcPr>
          <w:p w14:paraId="16242C5A" w14:textId="77777777" w:rsidR="00340A38" w:rsidRDefault="00000000">
            <w:pPr>
              <w:spacing w:after="0" w:line="240" w:lineRule="auto"/>
              <w:rPr>
                <w:sz w:val="18"/>
                <w:szCs w:val="18"/>
              </w:rPr>
            </w:pPr>
            <w:r>
              <w:rPr>
                <w:sz w:val="18"/>
                <w:szCs w:val="18"/>
              </w:rPr>
              <w:t xml:space="preserve"> No</w:t>
            </w:r>
          </w:p>
          <w:p w14:paraId="04C62D39" w14:textId="77777777" w:rsidR="00340A38" w:rsidRDefault="00000000">
            <w:pPr>
              <w:spacing w:after="0" w:line="240" w:lineRule="auto"/>
              <w:rPr>
                <w:sz w:val="18"/>
                <w:szCs w:val="18"/>
              </w:rPr>
            </w:pPr>
            <w:r>
              <w:rPr>
                <w:sz w:val="18"/>
                <w:szCs w:val="18"/>
              </w:rPr>
              <w:t xml:space="preserve"> No</w:t>
            </w:r>
          </w:p>
        </w:tc>
        <w:tc>
          <w:tcPr>
            <w:tcW w:w="1934" w:type="dxa"/>
            <w:tcBorders>
              <w:top w:val="nil"/>
              <w:left w:val="nil"/>
              <w:bottom w:val="nil"/>
              <w:right w:val="nil"/>
            </w:tcBorders>
            <w:tcMar>
              <w:top w:w="0" w:type="dxa"/>
              <w:left w:w="100" w:type="dxa"/>
              <w:bottom w:w="0" w:type="dxa"/>
              <w:right w:w="100" w:type="dxa"/>
            </w:tcMar>
          </w:tcPr>
          <w:p w14:paraId="41C1A3D9" w14:textId="77777777" w:rsidR="00340A38" w:rsidRDefault="00000000">
            <w:pPr>
              <w:spacing w:after="0" w:line="240" w:lineRule="auto"/>
              <w:rPr>
                <w:sz w:val="18"/>
                <w:szCs w:val="18"/>
              </w:rPr>
            </w:pPr>
            <w:r>
              <w:rPr>
                <w:sz w:val="18"/>
                <w:szCs w:val="18"/>
              </w:rPr>
              <w:t xml:space="preserve"> Yes</w:t>
            </w:r>
          </w:p>
          <w:p w14:paraId="3CB781E4" w14:textId="77777777" w:rsidR="00340A38" w:rsidRDefault="00000000">
            <w:pPr>
              <w:spacing w:after="0" w:line="240" w:lineRule="auto"/>
              <w:rPr>
                <w:sz w:val="18"/>
                <w:szCs w:val="18"/>
              </w:rPr>
            </w:pPr>
            <w:r>
              <w:rPr>
                <w:sz w:val="18"/>
                <w:szCs w:val="18"/>
              </w:rPr>
              <w:t xml:space="preserve"> Yes</w:t>
            </w:r>
          </w:p>
        </w:tc>
      </w:tr>
      <w:tr w:rsidR="00340A38" w14:paraId="644B9EB4" w14:textId="77777777">
        <w:trPr>
          <w:trHeight w:val="255"/>
        </w:trPr>
        <w:tc>
          <w:tcPr>
            <w:tcW w:w="1622" w:type="dxa"/>
            <w:tcBorders>
              <w:top w:val="nil"/>
              <w:left w:val="nil"/>
              <w:bottom w:val="single" w:sz="6" w:space="0" w:color="000000"/>
              <w:right w:val="nil"/>
            </w:tcBorders>
            <w:tcMar>
              <w:top w:w="0" w:type="dxa"/>
              <w:left w:w="100" w:type="dxa"/>
              <w:bottom w:w="0" w:type="dxa"/>
              <w:right w:w="100" w:type="dxa"/>
            </w:tcMar>
          </w:tcPr>
          <w:p w14:paraId="5A2FD9C9" w14:textId="77777777" w:rsidR="00340A38" w:rsidRDefault="00000000">
            <w:pPr>
              <w:spacing w:after="0" w:line="240" w:lineRule="auto"/>
              <w:rPr>
                <w:sz w:val="18"/>
                <w:szCs w:val="18"/>
              </w:rPr>
            </w:pPr>
            <w:r>
              <w:rPr>
                <w:sz w:val="18"/>
                <w:szCs w:val="18"/>
              </w:rPr>
              <w:t>Year Fe</w:t>
            </w:r>
          </w:p>
        </w:tc>
        <w:tc>
          <w:tcPr>
            <w:tcW w:w="1934" w:type="dxa"/>
            <w:tcBorders>
              <w:top w:val="nil"/>
              <w:left w:val="nil"/>
              <w:bottom w:val="single" w:sz="6" w:space="0" w:color="000000"/>
              <w:right w:val="nil"/>
            </w:tcBorders>
            <w:tcMar>
              <w:top w:w="0" w:type="dxa"/>
              <w:left w:w="100" w:type="dxa"/>
              <w:bottom w:w="0" w:type="dxa"/>
              <w:right w:w="100" w:type="dxa"/>
            </w:tcMar>
          </w:tcPr>
          <w:p w14:paraId="78C2D26D" w14:textId="77777777" w:rsidR="00340A38" w:rsidRDefault="00000000">
            <w:pPr>
              <w:spacing w:after="0" w:line="240" w:lineRule="auto"/>
              <w:rPr>
                <w:sz w:val="18"/>
                <w:szCs w:val="18"/>
              </w:rPr>
            </w:pPr>
            <w:r>
              <w:rPr>
                <w:sz w:val="18"/>
                <w:szCs w:val="18"/>
              </w:rPr>
              <w:t xml:space="preserve"> No</w:t>
            </w:r>
          </w:p>
        </w:tc>
        <w:tc>
          <w:tcPr>
            <w:tcW w:w="1934" w:type="dxa"/>
            <w:tcBorders>
              <w:top w:val="nil"/>
              <w:left w:val="nil"/>
              <w:bottom w:val="single" w:sz="6" w:space="0" w:color="000000"/>
              <w:right w:val="nil"/>
            </w:tcBorders>
            <w:tcMar>
              <w:top w:w="0" w:type="dxa"/>
              <w:left w:w="100" w:type="dxa"/>
              <w:bottom w:w="0" w:type="dxa"/>
              <w:right w:w="100" w:type="dxa"/>
            </w:tcMar>
          </w:tcPr>
          <w:p w14:paraId="650F9AB4" w14:textId="77777777" w:rsidR="00340A38" w:rsidRDefault="00000000">
            <w:pPr>
              <w:spacing w:after="0" w:line="240" w:lineRule="auto"/>
              <w:rPr>
                <w:sz w:val="18"/>
                <w:szCs w:val="18"/>
              </w:rPr>
            </w:pPr>
            <w:r>
              <w:rPr>
                <w:sz w:val="18"/>
                <w:szCs w:val="18"/>
              </w:rPr>
              <w:t>Yes</w:t>
            </w:r>
          </w:p>
        </w:tc>
        <w:tc>
          <w:tcPr>
            <w:tcW w:w="1934" w:type="dxa"/>
            <w:tcBorders>
              <w:top w:val="nil"/>
              <w:left w:val="nil"/>
              <w:bottom w:val="single" w:sz="6" w:space="0" w:color="000000"/>
              <w:right w:val="nil"/>
            </w:tcBorders>
            <w:tcMar>
              <w:top w:w="0" w:type="dxa"/>
              <w:left w:w="100" w:type="dxa"/>
              <w:bottom w:w="0" w:type="dxa"/>
              <w:right w:w="100" w:type="dxa"/>
            </w:tcMar>
          </w:tcPr>
          <w:p w14:paraId="22AED604" w14:textId="77777777" w:rsidR="00340A38" w:rsidRDefault="00000000">
            <w:pPr>
              <w:spacing w:after="0" w:line="240" w:lineRule="auto"/>
              <w:rPr>
                <w:sz w:val="18"/>
                <w:szCs w:val="18"/>
              </w:rPr>
            </w:pPr>
            <w:r>
              <w:rPr>
                <w:sz w:val="18"/>
                <w:szCs w:val="18"/>
              </w:rPr>
              <w:t xml:space="preserve"> No</w:t>
            </w:r>
          </w:p>
        </w:tc>
        <w:tc>
          <w:tcPr>
            <w:tcW w:w="1934" w:type="dxa"/>
            <w:tcBorders>
              <w:top w:val="nil"/>
              <w:left w:val="nil"/>
              <w:bottom w:val="single" w:sz="6" w:space="0" w:color="000000"/>
              <w:right w:val="nil"/>
            </w:tcBorders>
            <w:tcMar>
              <w:top w:w="0" w:type="dxa"/>
              <w:left w:w="100" w:type="dxa"/>
              <w:bottom w:w="0" w:type="dxa"/>
              <w:right w:w="100" w:type="dxa"/>
            </w:tcMar>
          </w:tcPr>
          <w:p w14:paraId="28551D23" w14:textId="77777777" w:rsidR="00340A38" w:rsidRDefault="00000000">
            <w:pPr>
              <w:spacing w:after="0" w:line="240" w:lineRule="auto"/>
              <w:rPr>
                <w:sz w:val="18"/>
                <w:szCs w:val="18"/>
              </w:rPr>
            </w:pPr>
            <w:r>
              <w:rPr>
                <w:sz w:val="18"/>
                <w:szCs w:val="18"/>
              </w:rPr>
              <w:t xml:space="preserve"> Yes</w:t>
            </w:r>
          </w:p>
        </w:tc>
      </w:tr>
    </w:tbl>
    <w:p w14:paraId="44145B2C" w14:textId="77777777" w:rsidR="00340A38" w:rsidRDefault="00000000">
      <w:pPr>
        <w:spacing w:after="0"/>
        <w:rPr>
          <w:sz w:val="18"/>
          <w:szCs w:val="18"/>
        </w:rPr>
      </w:pPr>
      <w:r>
        <w:rPr>
          <w:sz w:val="18"/>
          <w:szCs w:val="18"/>
        </w:rPr>
        <w:t>t statistics in parentheses</w:t>
      </w:r>
    </w:p>
    <w:p w14:paraId="5BFA8385" w14:textId="77777777" w:rsidR="00340A38" w:rsidRDefault="00000000">
      <w:pPr>
        <w:spacing w:after="0"/>
      </w:pPr>
      <w:r>
        <w:rPr>
          <w:sz w:val="18"/>
          <w:szCs w:val="18"/>
          <w:vertAlign w:val="superscript"/>
        </w:rPr>
        <w:t>*</w:t>
      </w:r>
      <w:r>
        <w:rPr>
          <w:sz w:val="18"/>
          <w:szCs w:val="18"/>
        </w:rPr>
        <w:t xml:space="preserve"> p &lt; .1, </w:t>
      </w:r>
      <w:r>
        <w:rPr>
          <w:sz w:val="18"/>
          <w:szCs w:val="18"/>
          <w:vertAlign w:val="superscript"/>
        </w:rPr>
        <w:t>**</w:t>
      </w:r>
      <w:r>
        <w:rPr>
          <w:sz w:val="18"/>
          <w:szCs w:val="18"/>
        </w:rPr>
        <w:t xml:space="preserve"> p &lt; .05, </w:t>
      </w:r>
      <w:r>
        <w:rPr>
          <w:sz w:val="18"/>
          <w:szCs w:val="18"/>
          <w:vertAlign w:val="superscript"/>
        </w:rPr>
        <w:t>***</w:t>
      </w:r>
      <w:r>
        <w:rPr>
          <w:sz w:val="18"/>
          <w:szCs w:val="18"/>
        </w:rPr>
        <w:t xml:space="preserve"> p &lt; .01</w:t>
      </w:r>
    </w:p>
    <w:p w14:paraId="34946BAB" w14:textId="77777777" w:rsidR="00340A38" w:rsidRDefault="00000000">
      <w:pPr>
        <w:pStyle w:val="Heading2"/>
      </w:pPr>
      <w:bookmarkStart w:id="31" w:name="_m5vr3c7qmcv3" w:colFirst="0" w:colLast="0"/>
      <w:bookmarkEnd w:id="31"/>
      <w:r>
        <w:lastRenderedPageBreak/>
        <w:t>5.4 Discussion</w:t>
      </w:r>
    </w:p>
    <w:p w14:paraId="3CF35D9B" w14:textId="77777777" w:rsidR="00340A38" w:rsidRDefault="00000000">
      <w:pPr>
        <w:pStyle w:val="Heading3"/>
      </w:pPr>
      <w:bookmarkStart w:id="32" w:name="_hpg9o9g71re0" w:colFirst="0" w:colLast="0"/>
      <w:bookmarkEnd w:id="32"/>
      <w:r>
        <w:t>5.4.1 Multicollinearity Test</w:t>
      </w:r>
    </w:p>
    <w:p w14:paraId="5F5ADF05" w14:textId="77777777" w:rsidR="00340A38" w:rsidRDefault="00000000">
      <w:pPr>
        <w:spacing w:line="480" w:lineRule="auto"/>
        <w:jc w:val="both"/>
      </w:pPr>
      <w:r>
        <w:t xml:space="preserve">In this section, we applied the Variance Inflation Factor (VIF) test to detect the multicollinearity level of independent variables we have utilized in our regressions. As the results shown in Table 8, the VIF of the variables are all closely around 1, indicating that there is nearly no correlation among my independent variables. Therefore, my regression results can survive from the multicollinearity.  </w:t>
      </w:r>
    </w:p>
    <w:p w14:paraId="3C2AA93E" w14:textId="77777777" w:rsidR="00340A38" w:rsidRDefault="00000000">
      <w:pPr>
        <w:spacing w:after="0"/>
        <w:rPr>
          <w:b/>
          <w:sz w:val="20"/>
          <w:szCs w:val="20"/>
        </w:rPr>
      </w:pPr>
      <w:r>
        <w:rPr>
          <w:b/>
          <w:sz w:val="20"/>
          <w:szCs w:val="20"/>
        </w:rPr>
        <w:t>Table 8</w:t>
      </w:r>
    </w:p>
    <w:tbl>
      <w:tblPr>
        <w:tblStyle w:val="ae"/>
        <w:tblW w:w="3555" w:type="dxa"/>
        <w:tblBorders>
          <w:top w:val="nil"/>
          <w:left w:val="nil"/>
          <w:bottom w:val="nil"/>
          <w:right w:val="nil"/>
          <w:insideH w:val="nil"/>
          <w:insideV w:val="nil"/>
        </w:tblBorders>
        <w:tblLayout w:type="fixed"/>
        <w:tblLook w:val="0600" w:firstRow="0" w:lastRow="0" w:firstColumn="0" w:lastColumn="0" w:noHBand="1" w:noVBand="1"/>
      </w:tblPr>
      <w:tblGrid>
        <w:gridCol w:w="1155"/>
        <w:gridCol w:w="1110"/>
        <w:gridCol w:w="1290"/>
      </w:tblGrid>
      <w:tr w:rsidR="00340A38" w14:paraId="66B321D8" w14:textId="77777777">
        <w:trPr>
          <w:trHeight w:val="311"/>
        </w:trPr>
        <w:tc>
          <w:tcPr>
            <w:tcW w:w="1155" w:type="dxa"/>
            <w:tcBorders>
              <w:top w:val="nil"/>
              <w:left w:val="nil"/>
              <w:bottom w:val="single" w:sz="4" w:space="0" w:color="000000"/>
              <w:right w:val="nil"/>
            </w:tcBorders>
            <w:tcMar>
              <w:top w:w="20" w:type="dxa"/>
              <w:left w:w="20" w:type="dxa"/>
              <w:bottom w:w="100" w:type="dxa"/>
              <w:right w:w="20" w:type="dxa"/>
            </w:tcMar>
            <w:vAlign w:val="center"/>
          </w:tcPr>
          <w:p w14:paraId="4BAB94FA" w14:textId="77777777" w:rsidR="00340A38" w:rsidRDefault="00000000">
            <w:pPr>
              <w:spacing w:after="0" w:line="240" w:lineRule="auto"/>
              <w:rPr>
                <w:b/>
                <w:sz w:val="18"/>
                <w:szCs w:val="18"/>
              </w:rPr>
            </w:pPr>
            <w:r>
              <w:rPr>
                <w:b/>
                <w:sz w:val="18"/>
                <w:szCs w:val="18"/>
              </w:rPr>
              <w:t>Variable</w:t>
            </w:r>
          </w:p>
        </w:tc>
        <w:tc>
          <w:tcPr>
            <w:tcW w:w="1110" w:type="dxa"/>
            <w:tcBorders>
              <w:top w:val="nil"/>
              <w:left w:val="nil"/>
              <w:bottom w:val="single" w:sz="4" w:space="0" w:color="000000"/>
              <w:right w:val="nil"/>
            </w:tcBorders>
            <w:tcMar>
              <w:top w:w="20" w:type="dxa"/>
              <w:left w:w="20" w:type="dxa"/>
              <w:bottom w:w="100" w:type="dxa"/>
              <w:right w:w="20" w:type="dxa"/>
            </w:tcMar>
            <w:vAlign w:val="center"/>
          </w:tcPr>
          <w:p w14:paraId="107F126A" w14:textId="77777777" w:rsidR="00340A38" w:rsidRDefault="00000000">
            <w:pPr>
              <w:spacing w:after="0" w:line="240" w:lineRule="auto"/>
              <w:rPr>
                <w:b/>
                <w:sz w:val="18"/>
                <w:szCs w:val="18"/>
              </w:rPr>
            </w:pPr>
            <w:r>
              <w:rPr>
                <w:b/>
                <w:sz w:val="18"/>
                <w:szCs w:val="18"/>
              </w:rPr>
              <w:t>VIF</w:t>
            </w:r>
          </w:p>
        </w:tc>
        <w:tc>
          <w:tcPr>
            <w:tcW w:w="1290" w:type="dxa"/>
            <w:tcBorders>
              <w:top w:val="nil"/>
              <w:left w:val="nil"/>
              <w:bottom w:val="single" w:sz="4" w:space="0" w:color="000000"/>
              <w:right w:val="nil"/>
            </w:tcBorders>
            <w:tcMar>
              <w:top w:w="20" w:type="dxa"/>
              <w:left w:w="20" w:type="dxa"/>
              <w:bottom w:w="100" w:type="dxa"/>
              <w:right w:w="20" w:type="dxa"/>
            </w:tcMar>
            <w:vAlign w:val="center"/>
          </w:tcPr>
          <w:p w14:paraId="75F22CF1" w14:textId="77777777" w:rsidR="00340A38" w:rsidRDefault="00000000">
            <w:pPr>
              <w:spacing w:after="0" w:line="240" w:lineRule="auto"/>
              <w:rPr>
                <w:b/>
                <w:sz w:val="18"/>
                <w:szCs w:val="18"/>
              </w:rPr>
            </w:pPr>
            <w:r>
              <w:rPr>
                <w:b/>
                <w:sz w:val="18"/>
                <w:szCs w:val="18"/>
              </w:rPr>
              <w:t>1/VIF</w:t>
            </w:r>
          </w:p>
        </w:tc>
      </w:tr>
      <w:tr w:rsidR="00340A38" w14:paraId="07B033D3" w14:textId="77777777">
        <w:tc>
          <w:tcPr>
            <w:tcW w:w="1155" w:type="dxa"/>
            <w:tcBorders>
              <w:top w:val="single" w:sz="4" w:space="0" w:color="000000"/>
              <w:left w:val="nil"/>
              <w:bottom w:val="nil"/>
              <w:right w:val="nil"/>
            </w:tcBorders>
            <w:tcMar>
              <w:top w:w="20" w:type="dxa"/>
              <w:left w:w="20" w:type="dxa"/>
              <w:bottom w:w="100" w:type="dxa"/>
              <w:right w:w="20" w:type="dxa"/>
            </w:tcMar>
            <w:vAlign w:val="center"/>
          </w:tcPr>
          <w:p w14:paraId="012644E6" w14:textId="77777777" w:rsidR="00340A38" w:rsidRDefault="00000000">
            <w:pPr>
              <w:spacing w:after="0" w:line="240" w:lineRule="auto"/>
              <w:rPr>
                <w:sz w:val="18"/>
                <w:szCs w:val="18"/>
              </w:rPr>
            </w:pPr>
            <w:r>
              <w:rPr>
                <w:sz w:val="18"/>
                <w:szCs w:val="18"/>
              </w:rPr>
              <w:t>CEO1</w:t>
            </w:r>
          </w:p>
        </w:tc>
        <w:tc>
          <w:tcPr>
            <w:tcW w:w="1110" w:type="dxa"/>
            <w:tcBorders>
              <w:top w:val="single" w:sz="4" w:space="0" w:color="000000"/>
              <w:left w:val="nil"/>
              <w:bottom w:val="nil"/>
              <w:right w:val="nil"/>
            </w:tcBorders>
            <w:tcMar>
              <w:top w:w="20" w:type="dxa"/>
              <w:left w:w="20" w:type="dxa"/>
              <w:bottom w:w="100" w:type="dxa"/>
              <w:right w:w="20" w:type="dxa"/>
            </w:tcMar>
            <w:vAlign w:val="center"/>
          </w:tcPr>
          <w:p w14:paraId="342DCE79" w14:textId="77777777" w:rsidR="00340A38" w:rsidRDefault="00000000">
            <w:pPr>
              <w:spacing w:after="0" w:line="240" w:lineRule="auto"/>
              <w:rPr>
                <w:sz w:val="18"/>
                <w:szCs w:val="18"/>
              </w:rPr>
            </w:pPr>
            <w:r>
              <w:rPr>
                <w:sz w:val="18"/>
                <w:szCs w:val="18"/>
              </w:rPr>
              <w:t>1.06</w:t>
            </w:r>
          </w:p>
        </w:tc>
        <w:tc>
          <w:tcPr>
            <w:tcW w:w="1290" w:type="dxa"/>
            <w:tcBorders>
              <w:top w:val="single" w:sz="4" w:space="0" w:color="000000"/>
              <w:left w:val="nil"/>
              <w:bottom w:val="nil"/>
              <w:right w:val="nil"/>
            </w:tcBorders>
            <w:tcMar>
              <w:top w:w="20" w:type="dxa"/>
              <w:left w:w="20" w:type="dxa"/>
              <w:bottom w:w="100" w:type="dxa"/>
              <w:right w:w="20" w:type="dxa"/>
            </w:tcMar>
            <w:vAlign w:val="center"/>
          </w:tcPr>
          <w:p w14:paraId="5C56C429" w14:textId="77777777" w:rsidR="00340A38" w:rsidRDefault="00000000">
            <w:pPr>
              <w:spacing w:after="0" w:line="240" w:lineRule="auto"/>
              <w:rPr>
                <w:sz w:val="18"/>
                <w:szCs w:val="18"/>
              </w:rPr>
            </w:pPr>
            <w:r>
              <w:rPr>
                <w:sz w:val="18"/>
                <w:szCs w:val="18"/>
              </w:rPr>
              <w:t>0.943396226</w:t>
            </w:r>
          </w:p>
        </w:tc>
      </w:tr>
      <w:tr w:rsidR="00340A38" w14:paraId="42D9B922" w14:textId="77777777">
        <w:tc>
          <w:tcPr>
            <w:tcW w:w="1155" w:type="dxa"/>
            <w:tcBorders>
              <w:top w:val="nil"/>
              <w:left w:val="nil"/>
              <w:bottom w:val="nil"/>
              <w:right w:val="nil"/>
            </w:tcBorders>
            <w:tcMar>
              <w:top w:w="20" w:type="dxa"/>
              <w:left w:w="20" w:type="dxa"/>
              <w:bottom w:w="100" w:type="dxa"/>
              <w:right w:w="20" w:type="dxa"/>
            </w:tcMar>
            <w:vAlign w:val="center"/>
          </w:tcPr>
          <w:p w14:paraId="0DC0D622" w14:textId="77777777" w:rsidR="00340A38" w:rsidRDefault="00000000">
            <w:pPr>
              <w:spacing w:after="0" w:line="240" w:lineRule="auto"/>
              <w:rPr>
                <w:sz w:val="18"/>
                <w:szCs w:val="18"/>
              </w:rPr>
            </w:pPr>
            <w:r>
              <w:rPr>
                <w:sz w:val="18"/>
                <w:szCs w:val="18"/>
              </w:rPr>
              <w:t>CEO2</w:t>
            </w:r>
          </w:p>
        </w:tc>
        <w:tc>
          <w:tcPr>
            <w:tcW w:w="1110" w:type="dxa"/>
            <w:tcBorders>
              <w:top w:val="nil"/>
              <w:left w:val="nil"/>
              <w:bottom w:val="nil"/>
              <w:right w:val="nil"/>
            </w:tcBorders>
            <w:tcMar>
              <w:top w:w="20" w:type="dxa"/>
              <w:left w:w="20" w:type="dxa"/>
              <w:bottom w:w="100" w:type="dxa"/>
              <w:right w:w="20" w:type="dxa"/>
            </w:tcMar>
            <w:vAlign w:val="center"/>
          </w:tcPr>
          <w:p w14:paraId="39E39DD5" w14:textId="77777777" w:rsidR="00340A38" w:rsidRDefault="00000000">
            <w:pPr>
              <w:spacing w:after="0" w:line="240" w:lineRule="auto"/>
              <w:rPr>
                <w:sz w:val="18"/>
                <w:szCs w:val="18"/>
              </w:rPr>
            </w:pPr>
            <w:r>
              <w:rPr>
                <w:sz w:val="18"/>
                <w:szCs w:val="18"/>
              </w:rPr>
              <w:t>1.04</w:t>
            </w:r>
          </w:p>
        </w:tc>
        <w:tc>
          <w:tcPr>
            <w:tcW w:w="1290" w:type="dxa"/>
            <w:tcBorders>
              <w:top w:val="nil"/>
              <w:left w:val="nil"/>
              <w:bottom w:val="nil"/>
              <w:right w:val="nil"/>
            </w:tcBorders>
            <w:tcMar>
              <w:top w:w="20" w:type="dxa"/>
              <w:left w:w="20" w:type="dxa"/>
              <w:bottom w:w="100" w:type="dxa"/>
              <w:right w:w="20" w:type="dxa"/>
            </w:tcMar>
            <w:vAlign w:val="center"/>
          </w:tcPr>
          <w:p w14:paraId="6C2AD928" w14:textId="77777777" w:rsidR="00340A38" w:rsidRDefault="00000000">
            <w:pPr>
              <w:spacing w:after="0" w:line="240" w:lineRule="auto"/>
              <w:rPr>
                <w:sz w:val="18"/>
                <w:szCs w:val="18"/>
              </w:rPr>
            </w:pPr>
            <w:r>
              <w:rPr>
                <w:sz w:val="18"/>
                <w:szCs w:val="18"/>
              </w:rPr>
              <w:t>0.961538462</w:t>
            </w:r>
          </w:p>
        </w:tc>
      </w:tr>
      <w:tr w:rsidR="00340A38" w14:paraId="1CD02731" w14:textId="77777777">
        <w:tc>
          <w:tcPr>
            <w:tcW w:w="1155" w:type="dxa"/>
            <w:tcBorders>
              <w:top w:val="nil"/>
              <w:left w:val="nil"/>
              <w:bottom w:val="nil"/>
              <w:right w:val="nil"/>
            </w:tcBorders>
            <w:tcMar>
              <w:top w:w="20" w:type="dxa"/>
              <w:left w:w="20" w:type="dxa"/>
              <w:bottom w:w="100" w:type="dxa"/>
              <w:right w:w="20" w:type="dxa"/>
            </w:tcMar>
            <w:vAlign w:val="center"/>
          </w:tcPr>
          <w:p w14:paraId="35A032E1" w14:textId="77777777" w:rsidR="00340A38" w:rsidRDefault="00000000">
            <w:pPr>
              <w:spacing w:after="0" w:line="240" w:lineRule="auto"/>
              <w:rPr>
                <w:sz w:val="18"/>
                <w:szCs w:val="18"/>
              </w:rPr>
            </w:pPr>
            <w:r>
              <w:rPr>
                <w:sz w:val="18"/>
                <w:szCs w:val="18"/>
              </w:rPr>
              <w:t>BOD1</w:t>
            </w:r>
          </w:p>
        </w:tc>
        <w:tc>
          <w:tcPr>
            <w:tcW w:w="1110" w:type="dxa"/>
            <w:tcBorders>
              <w:top w:val="nil"/>
              <w:left w:val="nil"/>
              <w:bottom w:val="nil"/>
              <w:right w:val="nil"/>
            </w:tcBorders>
            <w:tcMar>
              <w:top w:w="20" w:type="dxa"/>
              <w:left w:w="20" w:type="dxa"/>
              <w:bottom w:w="100" w:type="dxa"/>
              <w:right w:w="20" w:type="dxa"/>
            </w:tcMar>
            <w:vAlign w:val="center"/>
          </w:tcPr>
          <w:p w14:paraId="5DCCC04C" w14:textId="77777777" w:rsidR="00340A38" w:rsidRDefault="00000000">
            <w:pPr>
              <w:spacing w:after="0" w:line="240" w:lineRule="auto"/>
              <w:rPr>
                <w:sz w:val="18"/>
                <w:szCs w:val="18"/>
              </w:rPr>
            </w:pPr>
            <w:r>
              <w:rPr>
                <w:sz w:val="18"/>
                <w:szCs w:val="18"/>
              </w:rPr>
              <w:t>1.09</w:t>
            </w:r>
          </w:p>
        </w:tc>
        <w:tc>
          <w:tcPr>
            <w:tcW w:w="1290" w:type="dxa"/>
            <w:tcBorders>
              <w:top w:val="nil"/>
              <w:left w:val="nil"/>
              <w:bottom w:val="nil"/>
              <w:right w:val="nil"/>
            </w:tcBorders>
            <w:tcMar>
              <w:top w:w="20" w:type="dxa"/>
              <w:left w:w="20" w:type="dxa"/>
              <w:bottom w:w="100" w:type="dxa"/>
              <w:right w:w="20" w:type="dxa"/>
            </w:tcMar>
            <w:vAlign w:val="center"/>
          </w:tcPr>
          <w:p w14:paraId="12FA064B" w14:textId="77777777" w:rsidR="00340A38" w:rsidRDefault="00000000">
            <w:pPr>
              <w:spacing w:after="0" w:line="240" w:lineRule="auto"/>
              <w:rPr>
                <w:sz w:val="18"/>
                <w:szCs w:val="18"/>
              </w:rPr>
            </w:pPr>
            <w:r>
              <w:rPr>
                <w:sz w:val="18"/>
                <w:szCs w:val="18"/>
              </w:rPr>
              <w:t>0.917431193</w:t>
            </w:r>
          </w:p>
        </w:tc>
      </w:tr>
      <w:tr w:rsidR="00340A38" w14:paraId="5B38E36E" w14:textId="77777777">
        <w:tc>
          <w:tcPr>
            <w:tcW w:w="1155" w:type="dxa"/>
            <w:tcBorders>
              <w:top w:val="nil"/>
              <w:left w:val="nil"/>
              <w:bottom w:val="nil"/>
              <w:right w:val="nil"/>
            </w:tcBorders>
            <w:tcMar>
              <w:top w:w="20" w:type="dxa"/>
              <w:left w:w="20" w:type="dxa"/>
              <w:bottom w:w="100" w:type="dxa"/>
              <w:right w:w="20" w:type="dxa"/>
            </w:tcMar>
            <w:vAlign w:val="center"/>
          </w:tcPr>
          <w:p w14:paraId="787C4243" w14:textId="77777777" w:rsidR="00340A38" w:rsidRDefault="00000000">
            <w:pPr>
              <w:spacing w:after="0" w:line="240" w:lineRule="auto"/>
              <w:rPr>
                <w:sz w:val="18"/>
                <w:szCs w:val="18"/>
              </w:rPr>
            </w:pPr>
            <w:r>
              <w:rPr>
                <w:sz w:val="18"/>
                <w:szCs w:val="18"/>
              </w:rPr>
              <w:t>IACT</w:t>
            </w:r>
          </w:p>
        </w:tc>
        <w:tc>
          <w:tcPr>
            <w:tcW w:w="1110" w:type="dxa"/>
            <w:tcBorders>
              <w:top w:val="nil"/>
              <w:left w:val="nil"/>
              <w:bottom w:val="nil"/>
              <w:right w:val="nil"/>
            </w:tcBorders>
            <w:tcMar>
              <w:top w:w="20" w:type="dxa"/>
              <w:left w:w="20" w:type="dxa"/>
              <w:bottom w:w="100" w:type="dxa"/>
              <w:right w:w="20" w:type="dxa"/>
            </w:tcMar>
            <w:vAlign w:val="center"/>
          </w:tcPr>
          <w:p w14:paraId="5206FEC6" w14:textId="77777777" w:rsidR="00340A38" w:rsidRDefault="00000000">
            <w:pPr>
              <w:spacing w:after="0" w:line="240" w:lineRule="auto"/>
              <w:rPr>
                <w:sz w:val="18"/>
                <w:szCs w:val="18"/>
              </w:rPr>
            </w:pPr>
            <w:r>
              <w:rPr>
                <w:sz w:val="18"/>
                <w:szCs w:val="18"/>
              </w:rPr>
              <w:t>1.03</w:t>
            </w:r>
          </w:p>
        </w:tc>
        <w:tc>
          <w:tcPr>
            <w:tcW w:w="1290" w:type="dxa"/>
            <w:tcBorders>
              <w:top w:val="nil"/>
              <w:left w:val="nil"/>
              <w:bottom w:val="nil"/>
              <w:right w:val="nil"/>
            </w:tcBorders>
            <w:tcMar>
              <w:top w:w="20" w:type="dxa"/>
              <w:left w:w="20" w:type="dxa"/>
              <w:bottom w:w="100" w:type="dxa"/>
              <w:right w:w="20" w:type="dxa"/>
            </w:tcMar>
            <w:vAlign w:val="center"/>
          </w:tcPr>
          <w:p w14:paraId="7168C420" w14:textId="77777777" w:rsidR="00340A38" w:rsidRDefault="00000000">
            <w:pPr>
              <w:spacing w:after="0" w:line="240" w:lineRule="auto"/>
              <w:rPr>
                <w:sz w:val="18"/>
                <w:szCs w:val="18"/>
              </w:rPr>
            </w:pPr>
            <w:r>
              <w:rPr>
                <w:sz w:val="18"/>
                <w:szCs w:val="18"/>
              </w:rPr>
              <w:t>0.970873786</w:t>
            </w:r>
          </w:p>
        </w:tc>
      </w:tr>
      <w:tr w:rsidR="00340A38" w14:paraId="7D2C9DEC" w14:textId="77777777">
        <w:tc>
          <w:tcPr>
            <w:tcW w:w="1155" w:type="dxa"/>
            <w:tcBorders>
              <w:top w:val="nil"/>
              <w:left w:val="nil"/>
              <w:bottom w:val="nil"/>
              <w:right w:val="nil"/>
            </w:tcBorders>
            <w:tcMar>
              <w:top w:w="20" w:type="dxa"/>
              <w:left w:w="20" w:type="dxa"/>
              <w:bottom w:w="100" w:type="dxa"/>
              <w:right w:w="20" w:type="dxa"/>
            </w:tcMar>
            <w:vAlign w:val="center"/>
          </w:tcPr>
          <w:p w14:paraId="3079CAB4" w14:textId="77777777" w:rsidR="00340A38" w:rsidRDefault="00000000">
            <w:pPr>
              <w:spacing w:after="0" w:line="240" w:lineRule="auto"/>
              <w:rPr>
                <w:sz w:val="18"/>
                <w:szCs w:val="18"/>
              </w:rPr>
            </w:pPr>
            <w:r>
              <w:rPr>
                <w:sz w:val="18"/>
                <w:szCs w:val="18"/>
              </w:rPr>
              <w:t>SIZE</w:t>
            </w:r>
          </w:p>
        </w:tc>
        <w:tc>
          <w:tcPr>
            <w:tcW w:w="1110" w:type="dxa"/>
            <w:tcBorders>
              <w:top w:val="nil"/>
              <w:left w:val="nil"/>
              <w:bottom w:val="nil"/>
              <w:right w:val="nil"/>
            </w:tcBorders>
            <w:tcMar>
              <w:top w:w="20" w:type="dxa"/>
              <w:left w:w="20" w:type="dxa"/>
              <w:bottom w:w="100" w:type="dxa"/>
              <w:right w:w="20" w:type="dxa"/>
            </w:tcMar>
            <w:vAlign w:val="center"/>
          </w:tcPr>
          <w:p w14:paraId="4B6229C4" w14:textId="77777777" w:rsidR="00340A38" w:rsidRDefault="00000000">
            <w:pPr>
              <w:spacing w:after="0" w:line="240" w:lineRule="auto"/>
              <w:rPr>
                <w:sz w:val="18"/>
                <w:szCs w:val="18"/>
              </w:rPr>
            </w:pPr>
            <w:r>
              <w:rPr>
                <w:sz w:val="18"/>
                <w:szCs w:val="18"/>
              </w:rPr>
              <w:t>1.21</w:t>
            </w:r>
          </w:p>
        </w:tc>
        <w:tc>
          <w:tcPr>
            <w:tcW w:w="1290" w:type="dxa"/>
            <w:tcBorders>
              <w:top w:val="nil"/>
              <w:left w:val="nil"/>
              <w:bottom w:val="nil"/>
              <w:right w:val="nil"/>
            </w:tcBorders>
            <w:tcMar>
              <w:top w:w="20" w:type="dxa"/>
              <w:left w:w="20" w:type="dxa"/>
              <w:bottom w:w="100" w:type="dxa"/>
              <w:right w:w="20" w:type="dxa"/>
            </w:tcMar>
            <w:vAlign w:val="center"/>
          </w:tcPr>
          <w:p w14:paraId="0FE91DE5" w14:textId="77777777" w:rsidR="00340A38" w:rsidRDefault="00000000">
            <w:pPr>
              <w:spacing w:after="0" w:line="240" w:lineRule="auto"/>
              <w:rPr>
                <w:sz w:val="18"/>
                <w:szCs w:val="18"/>
              </w:rPr>
            </w:pPr>
            <w:r>
              <w:rPr>
                <w:sz w:val="18"/>
                <w:szCs w:val="18"/>
              </w:rPr>
              <w:t>0.826446281</w:t>
            </w:r>
          </w:p>
        </w:tc>
      </w:tr>
      <w:tr w:rsidR="00340A38" w14:paraId="5E30BD44" w14:textId="77777777">
        <w:tc>
          <w:tcPr>
            <w:tcW w:w="1155" w:type="dxa"/>
            <w:tcBorders>
              <w:top w:val="nil"/>
              <w:left w:val="nil"/>
              <w:bottom w:val="nil"/>
              <w:right w:val="nil"/>
            </w:tcBorders>
            <w:tcMar>
              <w:top w:w="20" w:type="dxa"/>
              <w:left w:w="20" w:type="dxa"/>
              <w:bottom w:w="100" w:type="dxa"/>
              <w:right w:w="20" w:type="dxa"/>
            </w:tcMar>
            <w:vAlign w:val="center"/>
          </w:tcPr>
          <w:p w14:paraId="33B36EBB" w14:textId="77777777" w:rsidR="00340A38" w:rsidRDefault="00000000">
            <w:pPr>
              <w:spacing w:after="0" w:line="240" w:lineRule="auto"/>
              <w:rPr>
                <w:sz w:val="18"/>
                <w:szCs w:val="18"/>
              </w:rPr>
            </w:pPr>
            <w:r>
              <w:rPr>
                <w:sz w:val="18"/>
                <w:szCs w:val="18"/>
              </w:rPr>
              <w:t>ROA</w:t>
            </w:r>
          </w:p>
        </w:tc>
        <w:tc>
          <w:tcPr>
            <w:tcW w:w="1110" w:type="dxa"/>
            <w:tcBorders>
              <w:top w:val="nil"/>
              <w:left w:val="nil"/>
              <w:bottom w:val="nil"/>
              <w:right w:val="nil"/>
            </w:tcBorders>
            <w:tcMar>
              <w:top w:w="20" w:type="dxa"/>
              <w:left w:w="20" w:type="dxa"/>
              <w:bottom w:w="100" w:type="dxa"/>
              <w:right w:w="20" w:type="dxa"/>
            </w:tcMar>
            <w:vAlign w:val="center"/>
          </w:tcPr>
          <w:p w14:paraId="05ABC97D" w14:textId="77777777" w:rsidR="00340A38" w:rsidRDefault="00000000">
            <w:pPr>
              <w:spacing w:after="0" w:line="240" w:lineRule="auto"/>
              <w:rPr>
                <w:sz w:val="18"/>
                <w:szCs w:val="18"/>
              </w:rPr>
            </w:pPr>
            <w:r>
              <w:rPr>
                <w:sz w:val="18"/>
                <w:szCs w:val="18"/>
              </w:rPr>
              <w:t>1.1</w:t>
            </w:r>
          </w:p>
        </w:tc>
        <w:tc>
          <w:tcPr>
            <w:tcW w:w="1290" w:type="dxa"/>
            <w:tcBorders>
              <w:top w:val="nil"/>
              <w:left w:val="nil"/>
              <w:bottom w:val="nil"/>
              <w:right w:val="nil"/>
            </w:tcBorders>
            <w:tcMar>
              <w:top w:w="20" w:type="dxa"/>
              <w:left w:w="20" w:type="dxa"/>
              <w:bottom w:w="100" w:type="dxa"/>
              <w:right w:w="20" w:type="dxa"/>
            </w:tcMar>
            <w:vAlign w:val="center"/>
          </w:tcPr>
          <w:p w14:paraId="2A5D73D0" w14:textId="77777777" w:rsidR="00340A38" w:rsidRDefault="00000000">
            <w:pPr>
              <w:spacing w:after="0" w:line="240" w:lineRule="auto"/>
              <w:rPr>
                <w:sz w:val="18"/>
                <w:szCs w:val="18"/>
              </w:rPr>
            </w:pPr>
            <w:r>
              <w:rPr>
                <w:sz w:val="18"/>
                <w:szCs w:val="18"/>
              </w:rPr>
              <w:t>0.909090909</w:t>
            </w:r>
          </w:p>
        </w:tc>
      </w:tr>
      <w:tr w:rsidR="00340A38" w14:paraId="55DEAF40" w14:textId="77777777">
        <w:tc>
          <w:tcPr>
            <w:tcW w:w="1155" w:type="dxa"/>
            <w:tcBorders>
              <w:top w:val="nil"/>
              <w:left w:val="nil"/>
              <w:bottom w:val="single" w:sz="4" w:space="0" w:color="000000"/>
              <w:right w:val="nil"/>
            </w:tcBorders>
            <w:tcMar>
              <w:top w:w="20" w:type="dxa"/>
              <w:left w:w="20" w:type="dxa"/>
              <w:bottom w:w="100" w:type="dxa"/>
              <w:right w:w="20" w:type="dxa"/>
            </w:tcMar>
            <w:vAlign w:val="center"/>
          </w:tcPr>
          <w:p w14:paraId="0ED9B738" w14:textId="77777777" w:rsidR="00340A38" w:rsidRDefault="00000000">
            <w:pPr>
              <w:spacing w:after="0" w:line="240" w:lineRule="auto"/>
              <w:rPr>
                <w:sz w:val="18"/>
                <w:szCs w:val="18"/>
              </w:rPr>
            </w:pPr>
            <w:r>
              <w:rPr>
                <w:sz w:val="18"/>
                <w:szCs w:val="18"/>
              </w:rPr>
              <w:t>TANG</w:t>
            </w:r>
          </w:p>
        </w:tc>
        <w:tc>
          <w:tcPr>
            <w:tcW w:w="1110" w:type="dxa"/>
            <w:tcBorders>
              <w:top w:val="nil"/>
              <w:left w:val="nil"/>
              <w:bottom w:val="single" w:sz="4" w:space="0" w:color="000000"/>
              <w:right w:val="nil"/>
            </w:tcBorders>
            <w:tcMar>
              <w:top w:w="20" w:type="dxa"/>
              <w:left w:w="20" w:type="dxa"/>
              <w:bottom w:w="100" w:type="dxa"/>
              <w:right w:w="20" w:type="dxa"/>
            </w:tcMar>
            <w:vAlign w:val="center"/>
          </w:tcPr>
          <w:p w14:paraId="515686D5" w14:textId="77777777" w:rsidR="00340A38" w:rsidRDefault="00000000">
            <w:pPr>
              <w:spacing w:after="0" w:line="240" w:lineRule="auto"/>
              <w:rPr>
                <w:sz w:val="18"/>
                <w:szCs w:val="18"/>
              </w:rPr>
            </w:pPr>
            <w:r>
              <w:rPr>
                <w:sz w:val="18"/>
                <w:szCs w:val="18"/>
              </w:rPr>
              <w:t>1.23</w:t>
            </w:r>
          </w:p>
        </w:tc>
        <w:tc>
          <w:tcPr>
            <w:tcW w:w="1290" w:type="dxa"/>
            <w:tcBorders>
              <w:top w:val="nil"/>
              <w:left w:val="nil"/>
              <w:bottom w:val="single" w:sz="4" w:space="0" w:color="000000"/>
              <w:right w:val="nil"/>
            </w:tcBorders>
            <w:tcMar>
              <w:top w:w="20" w:type="dxa"/>
              <w:left w:w="20" w:type="dxa"/>
              <w:bottom w:w="100" w:type="dxa"/>
              <w:right w:w="20" w:type="dxa"/>
            </w:tcMar>
            <w:vAlign w:val="center"/>
          </w:tcPr>
          <w:p w14:paraId="7F7F68A6" w14:textId="77777777" w:rsidR="00340A38" w:rsidRDefault="00000000">
            <w:pPr>
              <w:spacing w:after="0" w:line="240" w:lineRule="auto"/>
              <w:rPr>
                <w:sz w:val="18"/>
                <w:szCs w:val="18"/>
              </w:rPr>
            </w:pPr>
            <w:r>
              <w:rPr>
                <w:sz w:val="18"/>
                <w:szCs w:val="18"/>
              </w:rPr>
              <w:t>0.81300813</w:t>
            </w:r>
          </w:p>
        </w:tc>
      </w:tr>
      <w:tr w:rsidR="00340A38" w14:paraId="2A00363F" w14:textId="77777777">
        <w:tc>
          <w:tcPr>
            <w:tcW w:w="1155" w:type="dxa"/>
            <w:tcBorders>
              <w:top w:val="single" w:sz="4" w:space="0" w:color="000000"/>
              <w:left w:val="nil"/>
              <w:bottom w:val="nil"/>
              <w:right w:val="nil"/>
            </w:tcBorders>
            <w:tcMar>
              <w:top w:w="20" w:type="dxa"/>
              <w:left w:w="20" w:type="dxa"/>
              <w:bottom w:w="100" w:type="dxa"/>
              <w:right w:w="20" w:type="dxa"/>
            </w:tcMar>
            <w:vAlign w:val="center"/>
          </w:tcPr>
          <w:p w14:paraId="5AF60955" w14:textId="77777777" w:rsidR="00340A38" w:rsidRDefault="00000000">
            <w:pPr>
              <w:spacing w:after="0" w:line="240" w:lineRule="auto"/>
              <w:rPr>
                <w:sz w:val="18"/>
                <w:szCs w:val="18"/>
              </w:rPr>
            </w:pPr>
            <w:r>
              <w:rPr>
                <w:sz w:val="18"/>
                <w:szCs w:val="18"/>
              </w:rPr>
              <w:t>Mean VIF</w:t>
            </w:r>
          </w:p>
        </w:tc>
        <w:tc>
          <w:tcPr>
            <w:tcW w:w="1110" w:type="dxa"/>
            <w:tcBorders>
              <w:top w:val="single" w:sz="4" w:space="0" w:color="000000"/>
              <w:left w:val="nil"/>
              <w:bottom w:val="nil"/>
              <w:right w:val="nil"/>
            </w:tcBorders>
            <w:tcMar>
              <w:top w:w="20" w:type="dxa"/>
              <w:left w:w="20" w:type="dxa"/>
              <w:bottom w:w="100" w:type="dxa"/>
              <w:right w:w="20" w:type="dxa"/>
            </w:tcMar>
            <w:vAlign w:val="center"/>
          </w:tcPr>
          <w:p w14:paraId="2BD0EEFA" w14:textId="77777777" w:rsidR="00340A38" w:rsidRDefault="00000000">
            <w:pPr>
              <w:spacing w:after="0" w:line="240" w:lineRule="auto"/>
              <w:rPr>
                <w:sz w:val="18"/>
                <w:szCs w:val="18"/>
              </w:rPr>
            </w:pPr>
            <w:r>
              <w:rPr>
                <w:sz w:val="18"/>
                <w:szCs w:val="18"/>
              </w:rPr>
              <w:t>1.11</w:t>
            </w:r>
          </w:p>
        </w:tc>
        <w:tc>
          <w:tcPr>
            <w:tcW w:w="1290" w:type="dxa"/>
            <w:tcBorders>
              <w:top w:val="single" w:sz="4" w:space="0" w:color="000000"/>
              <w:left w:val="nil"/>
              <w:bottom w:val="nil"/>
              <w:right w:val="nil"/>
            </w:tcBorders>
            <w:tcMar>
              <w:top w:w="20" w:type="dxa"/>
              <w:left w:w="20" w:type="dxa"/>
              <w:bottom w:w="100" w:type="dxa"/>
              <w:right w:w="20" w:type="dxa"/>
            </w:tcMar>
            <w:vAlign w:val="center"/>
          </w:tcPr>
          <w:p w14:paraId="096CB248" w14:textId="77777777" w:rsidR="00340A38" w:rsidRDefault="00340A38">
            <w:pPr>
              <w:spacing w:after="0" w:line="240" w:lineRule="auto"/>
              <w:rPr>
                <w:sz w:val="18"/>
                <w:szCs w:val="18"/>
              </w:rPr>
            </w:pPr>
          </w:p>
        </w:tc>
      </w:tr>
    </w:tbl>
    <w:p w14:paraId="652DCA4E" w14:textId="77777777" w:rsidR="00340A38" w:rsidRDefault="00340A38">
      <w:pPr>
        <w:spacing w:after="0" w:line="240" w:lineRule="auto"/>
        <w:rPr>
          <w:sz w:val="18"/>
          <w:szCs w:val="18"/>
        </w:rPr>
      </w:pPr>
    </w:p>
    <w:p w14:paraId="28B6EDC0" w14:textId="77777777" w:rsidR="00340A38" w:rsidRDefault="00000000">
      <w:pPr>
        <w:pStyle w:val="Heading3"/>
      </w:pPr>
      <w:bookmarkStart w:id="33" w:name="_i6kzotv51khd" w:colFirst="0" w:colLast="0"/>
      <w:bookmarkEnd w:id="33"/>
      <w:r>
        <w:t>5.4.2 Endogeneity and capital structure dynamics</w:t>
      </w:r>
    </w:p>
    <w:p w14:paraId="0CCBA94F" w14:textId="77777777" w:rsidR="00340A38" w:rsidRDefault="00000000">
      <w:pPr>
        <w:spacing w:line="480" w:lineRule="auto"/>
        <w:jc w:val="both"/>
      </w:pPr>
      <w:r>
        <w:t xml:space="preserve">In this section, we will discuss the potential endogeneity problems that lie in my independent variables. Basically, there may be two types of endogeneity. Firstly, there may be a reverse causal relationship between CEO power, BOD power, Institutional Investor power, and leverage. In other words, leverage choices may lead to the strong or weak power of the three parties. Specifically, increased leverage may lead to higher monitoring pressure on CEOs from the creditors, thus decreasing the autonomy of CEOs. Decreased leverage may also lead to higher significance of equity investors, including institutional investors, as they become a more important major capital funding source for the company. Besides, there may be some unobservable relationships between </w:t>
      </w:r>
      <w:r>
        <w:lastRenderedPageBreak/>
        <w:t xml:space="preserve">the three parties, such as trust, communication, or other informal agreements. These possibilities add to the complexity of the dynamic power balance between these three parties. </w:t>
      </w:r>
    </w:p>
    <w:p w14:paraId="7C2AE4E8" w14:textId="77777777" w:rsidR="00340A38" w:rsidRDefault="00000000">
      <w:pPr>
        <w:spacing w:line="480" w:lineRule="auto"/>
        <w:jc w:val="both"/>
      </w:pPr>
      <w:r>
        <w:t xml:space="preserve">We could apply an advanced econometrics model to address this endogeneity problem in the future study. As the leverage, our dependent variable, exhibits dependency across different periods, a two-step system Generalized Method of Moments (sys-GMM) would be a good choice. Specifically, we could introduce the lagged value of the leverage as instrumental variables, </w:t>
      </w:r>
      <w:proofErr w:type="gramStart"/>
      <w:r>
        <w:t>and also</w:t>
      </w:r>
      <w:proofErr w:type="gramEnd"/>
      <w:r>
        <w:t xml:space="preserve"> apply two-step estimation to mitigate the endogeneity. </w:t>
      </w:r>
    </w:p>
    <w:p w14:paraId="149C94BD" w14:textId="77777777" w:rsidR="00340A38" w:rsidRDefault="00000000">
      <w:pPr>
        <w:pStyle w:val="Heading1"/>
        <w:ind w:left="0" w:firstLine="0"/>
      </w:pPr>
      <w:bookmarkStart w:id="34" w:name="_7r7hcx2k39ot" w:colFirst="0" w:colLast="0"/>
      <w:bookmarkEnd w:id="34"/>
      <w:r>
        <w:t>6. Conclusion</w:t>
      </w:r>
    </w:p>
    <w:p w14:paraId="5602E542" w14:textId="51A5AF15" w:rsidR="00340A38" w:rsidRDefault="00000000">
      <w:pPr>
        <w:spacing w:line="480" w:lineRule="auto"/>
        <w:jc w:val="both"/>
      </w:pPr>
      <w:r>
        <w:t xml:space="preserve">The findings of my research elucidate significant power dynamics among three parties, the CEOs, the BODs, and the institutional investors, of their impact on capital structure across different corporate entities and industries within China. Our study reveals that CEOs and institutional investors exert considerable influence on the financial leverage decisions of firms. Their conflicts of interest and the agency problem because of asymmetric information also have been revealed. Moreover, their roles are more pronounced in </w:t>
      </w:r>
      <w:r w:rsidR="002030EC">
        <w:t>non-SOEs</w:t>
      </w:r>
      <w:r>
        <w:t xml:space="preserve">, which underscores the complexities of governance in varying ownership structures and economic contexts. On the other hand, BODs, while showing a lesser impact in </w:t>
      </w:r>
      <w:r w:rsidR="002030EC">
        <w:t>non-SOEs</w:t>
      </w:r>
      <w:r>
        <w:t xml:space="preserve"> compared with the other two parties, are influential in SOEs, highlighting the need for a tailored approach in governance practices. Besides, the position of institutional investors varies between different ownership structures, exerting a negative influence on leverage in </w:t>
      </w:r>
      <w:r w:rsidR="002030EC">
        <w:t>non-SOEs</w:t>
      </w:r>
      <w:r>
        <w:t xml:space="preserve"> and a positive influence in SOEs. Besides, there are variations among different industry groups. For those groups displaying typical industry-level characteristics, the observation of the diverging impact from the three parties is not obvious. These insights not only advance our academic understanding of corporate finance but also serve as a guide in practice </w:t>
      </w:r>
      <w:r>
        <w:lastRenderedPageBreak/>
        <w:t>for enhancing governance structures to align with the strategic financial objectives of companies. Moving forward, it is imperative for scholars and practitioners alike to consider these dynamics when designing governance systems that effectively balance authority and accountability, thereby promoting sustainable performance.</w:t>
      </w:r>
    </w:p>
    <w:p w14:paraId="48220392" w14:textId="77777777" w:rsidR="00340A38" w:rsidRDefault="00000000">
      <w:pPr>
        <w:pStyle w:val="Heading1"/>
        <w:ind w:left="0" w:firstLine="0"/>
      </w:pPr>
      <w:bookmarkStart w:id="35" w:name="_3sq416s7gybh" w:colFirst="0" w:colLast="0"/>
      <w:bookmarkEnd w:id="35"/>
      <w:r>
        <w:br w:type="page"/>
      </w:r>
    </w:p>
    <w:p w14:paraId="5BEFD5C6" w14:textId="77777777" w:rsidR="00340A38" w:rsidRDefault="00000000">
      <w:pPr>
        <w:pStyle w:val="Heading1"/>
        <w:ind w:left="0" w:firstLine="0"/>
      </w:pPr>
      <w:bookmarkStart w:id="36" w:name="_x4fyd4g4kq75" w:colFirst="0" w:colLast="0"/>
      <w:bookmarkEnd w:id="36"/>
      <w:r>
        <w:lastRenderedPageBreak/>
        <w:t>Acknowledgment</w:t>
      </w:r>
    </w:p>
    <w:p w14:paraId="1AE8EFB0" w14:textId="77777777" w:rsidR="00340A38" w:rsidRDefault="00000000">
      <w:pPr>
        <w:spacing w:line="480" w:lineRule="auto"/>
        <w:jc w:val="both"/>
      </w:pPr>
      <w:r>
        <w:t xml:space="preserve">I would first like to extend my sincere and deep gratitude to my advisor, Professor </w:t>
      </w:r>
      <w:proofErr w:type="spellStart"/>
      <w:r>
        <w:t>Guodong</w:t>
      </w:r>
      <w:proofErr w:type="spellEnd"/>
      <w:r>
        <w:t xml:space="preserve"> Chen. We had our first meeting in the summer of 2023. Throughout my one-year program, he provided me with unparalleled expert guidance and valuable support during my topic selection, data analysis, final presentation </w:t>
      </w:r>
      <w:proofErr w:type="gramStart"/>
      <w:r>
        <w:t>and also</w:t>
      </w:r>
      <w:proofErr w:type="gramEnd"/>
      <w:r>
        <w:t xml:space="preserve"> paper structuring. His encouragement made this first research in my life </w:t>
      </w:r>
      <w:proofErr w:type="gramStart"/>
      <w:r>
        <w:t>enjoyable</w:t>
      </w:r>
      <w:proofErr w:type="gramEnd"/>
      <w:r>
        <w:t xml:space="preserve"> and I have reaped substantial benefits from this program. </w:t>
      </w:r>
    </w:p>
    <w:p w14:paraId="753FF5D8" w14:textId="77777777" w:rsidR="00340A38" w:rsidRDefault="00000000">
      <w:pPr>
        <w:spacing w:line="480" w:lineRule="auto"/>
        <w:jc w:val="both"/>
      </w:pPr>
      <w:r>
        <w:t xml:space="preserve">I also wish to thank all the faculty advisors, Professor Marti G. Subrahmanyam, Professor Christina Wang and Professor Ye </w:t>
      </w:r>
      <w:proofErr w:type="spellStart"/>
      <w:r>
        <w:t>Jin</w:t>
      </w:r>
      <w:proofErr w:type="spellEnd"/>
      <w:r>
        <w:t xml:space="preserve">. They supported me with great patience and care at every important point during this year-long program. </w:t>
      </w:r>
    </w:p>
    <w:p w14:paraId="31C7678A" w14:textId="77777777" w:rsidR="00340A38" w:rsidRDefault="00000000">
      <w:pPr>
        <w:spacing w:line="480" w:lineRule="auto"/>
        <w:jc w:val="both"/>
      </w:pPr>
      <w:proofErr w:type="gramStart"/>
      <w:r>
        <w:t>Last but not least</w:t>
      </w:r>
      <w:proofErr w:type="gramEnd"/>
      <w:r>
        <w:t xml:space="preserve">, I am grateful to all my peers in the program and my family who supported me mentally and helped me survive the harsh periods throughout the whole study! </w:t>
      </w:r>
      <w:r>
        <w:br w:type="page"/>
      </w:r>
    </w:p>
    <w:p w14:paraId="49DBED94" w14:textId="77777777" w:rsidR="00340A38" w:rsidRDefault="00000000">
      <w:pPr>
        <w:spacing w:line="480" w:lineRule="auto"/>
      </w:pPr>
      <w:r>
        <w:rPr>
          <w:b/>
          <w:sz w:val="20"/>
          <w:szCs w:val="20"/>
        </w:rPr>
        <w:lastRenderedPageBreak/>
        <w:t>Appendix A. Variables Definitions</w:t>
      </w:r>
    </w:p>
    <w:tbl>
      <w:tblPr>
        <w:tblStyle w:val="af"/>
        <w:tblW w:w="8640"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2730"/>
        <w:gridCol w:w="5910"/>
      </w:tblGrid>
      <w:tr w:rsidR="00340A38" w14:paraId="1F0FF3DE" w14:textId="77777777">
        <w:trPr>
          <w:cantSplit/>
          <w:trHeight w:val="283"/>
        </w:trPr>
        <w:tc>
          <w:tcPr>
            <w:tcW w:w="2730" w:type="dxa"/>
            <w:tcBorders>
              <w:top w:val="single" w:sz="8" w:space="0" w:color="000000"/>
              <w:bottom w:val="single" w:sz="8" w:space="0" w:color="000000"/>
            </w:tcBorders>
            <w:shd w:val="clear" w:color="auto" w:fill="auto"/>
            <w:tcMar>
              <w:top w:w="43" w:type="dxa"/>
              <w:left w:w="43" w:type="dxa"/>
              <w:bottom w:w="43" w:type="dxa"/>
              <w:right w:w="43" w:type="dxa"/>
            </w:tcMar>
            <w:vAlign w:val="bottom"/>
          </w:tcPr>
          <w:p w14:paraId="15361571" w14:textId="77777777" w:rsidR="00340A38" w:rsidRDefault="00000000">
            <w:pPr>
              <w:keepLines/>
              <w:widowControl w:val="0"/>
              <w:spacing w:after="0" w:line="240" w:lineRule="auto"/>
              <w:rPr>
                <w:b/>
                <w:sz w:val="20"/>
                <w:szCs w:val="20"/>
              </w:rPr>
            </w:pPr>
            <w:r>
              <w:rPr>
                <w:b/>
                <w:sz w:val="20"/>
                <w:szCs w:val="20"/>
              </w:rPr>
              <w:t>Variables</w:t>
            </w:r>
          </w:p>
        </w:tc>
        <w:tc>
          <w:tcPr>
            <w:tcW w:w="5910" w:type="dxa"/>
            <w:tcBorders>
              <w:top w:val="single" w:sz="8" w:space="0" w:color="000000"/>
              <w:left w:val="nil"/>
              <w:bottom w:val="single" w:sz="8" w:space="0" w:color="000000"/>
              <w:right w:val="nil"/>
            </w:tcBorders>
            <w:tcMar>
              <w:top w:w="43" w:type="dxa"/>
              <w:left w:w="43" w:type="dxa"/>
              <w:bottom w:w="43" w:type="dxa"/>
              <w:right w:w="43" w:type="dxa"/>
            </w:tcMar>
            <w:vAlign w:val="bottom"/>
          </w:tcPr>
          <w:p w14:paraId="56E15F40" w14:textId="77777777" w:rsidR="00340A38" w:rsidRDefault="00000000">
            <w:pPr>
              <w:keepLines/>
              <w:spacing w:after="0" w:line="240" w:lineRule="auto"/>
              <w:rPr>
                <w:sz w:val="20"/>
                <w:szCs w:val="20"/>
              </w:rPr>
            </w:pPr>
            <w:r>
              <w:rPr>
                <w:b/>
                <w:sz w:val="20"/>
                <w:szCs w:val="20"/>
              </w:rPr>
              <w:t>Definition</w:t>
            </w:r>
          </w:p>
        </w:tc>
      </w:tr>
      <w:tr w:rsidR="00340A38" w14:paraId="213F0771" w14:textId="77777777">
        <w:trPr>
          <w:cantSplit/>
          <w:trHeight w:val="453"/>
        </w:trPr>
        <w:tc>
          <w:tcPr>
            <w:tcW w:w="2730" w:type="dxa"/>
            <w:tcBorders>
              <w:top w:val="single" w:sz="8" w:space="0" w:color="000000"/>
              <w:bottom w:val="single" w:sz="8" w:space="0" w:color="000000"/>
            </w:tcBorders>
            <w:shd w:val="clear" w:color="auto" w:fill="auto"/>
            <w:tcMar>
              <w:top w:w="43" w:type="dxa"/>
              <w:left w:w="43" w:type="dxa"/>
              <w:bottom w:w="43" w:type="dxa"/>
              <w:right w:w="43" w:type="dxa"/>
            </w:tcMar>
            <w:vAlign w:val="bottom"/>
          </w:tcPr>
          <w:p w14:paraId="420B486A" w14:textId="77777777" w:rsidR="00340A38" w:rsidRDefault="00000000">
            <w:pPr>
              <w:spacing w:after="0" w:line="240" w:lineRule="auto"/>
              <w:rPr>
                <w:b/>
                <w:sz w:val="20"/>
                <w:szCs w:val="20"/>
              </w:rPr>
            </w:pPr>
            <w:r>
              <w:rPr>
                <w:b/>
                <w:sz w:val="18"/>
                <w:szCs w:val="18"/>
              </w:rPr>
              <w:t>Panel A: Capital Structure</w:t>
            </w:r>
          </w:p>
        </w:tc>
        <w:tc>
          <w:tcPr>
            <w:tcW w:w="5910" w:type="dxa"/>
            <w:tcBorders>
              <w:top w:val="single" w:sz="8" w:space="0" w:color="000000"/>
              <w:left w:val="nil"/>
              <w:bottom w:val="single" w:sz="8" w:space="0" w:color="000000"/>
              <w:right w:val="nil"/>
            </w:tcBorders>
            <w:tcMar>
              <w:top w:w="43" w:type="dxa"/>
              <w:left w:w="43" w:type="dxa"/>
              <w:bottom w:w="43" w:type="dxa"/>
              <w:right w:w="43" w:type="dxa"/>
            </w:tcMar>
            <w:vAlign w:val="bottom"/>
          </w:tcPr>
          <w:p w14:paraId="45E5F043" w14:textId="77777777" w:rsidR="00340A38" w:rsidRDefault="00340A38">
            <w:pPr>
              <w:keepLines/>
              <w:spacing w:after="0" w:line="240" w:lineRule="auto"/>
              <w:rPr>
                <w:b/>
                <w:sz w:val="20"/>
                <w:szCs w:val="20"/>
              </w:rPr>
            </w:pPr>
          </w:p>
        </w:tc>
      </w:tr>
      <w:tr w:rsidR="00340A38" w14:paraId="5D694E07" w14:textId="77777777">
        <w:trPr>
          <w:cantSplit/>
          <w:trHeight w:val="453"/>
        </w:trPr>
        <w:tc>
          <w:tcPr>
            <w:tcW w:w="2730" w:type="dxa"/>
            <w:tcBorders>
              <w:top w:val="single" w:sz="8" w:space="0" w:color="000000"/>
              <w:bottom w:val="nil"/>
            </w:tcBorders>
            <w:shd w:val="clear" w:color="auto" w:fill="auto"/>
            <w:tcMar>
              <w:top w:w="43" w:type="dxa"/>
              <w:left w:w="43" w:type="dxa"/>
              <w:bottom w:w="43" w:type="dxa"/>
              <w:right w:w="43" w:type="dxa"/>
            </w:tcMar>
            <w:vAlign w:val="bottom"/>
          </w:tcPr>
          <w:p w14:paraId="0A0D505F" w14:textId="77777777" w:rsidR="00340A38" w:rsidRDefault="00000000">
            <w:pPr>
              <w:keepLines/>
              <w:widowControl w:val="0"/>
              <w:spacing w:after="0" w:line="240" w:lineRule="auto"/>
              <w:rPr>
                <w:sz w:val="20"/>
                <w:szCs w:val="20"/>
              </w:rPr>
            </w:pPr>
            <w:r>
              <w:rPr>
                <w:sz w:val="20"/>
                <w:szCs w:val="20"/>
              </w:rPr>
              <w:t>Book-value based leverage (BLVE)</w:t>
            </w:r>
          </w:p>
        </w:tc>
        <w:tc>
          <w:tcPr>
            <w:tcW w:w="5910" w:type="dxa"/>
            <w:tcBorders>
              <w:top w:val="single" w:sz="8" w:space="0" w:color="000000"/>
              <w:left w:val="nil"/>
              <w:bottom w:val="nil"/>
              <w:right w:val="nil"/>
            </w:tcBorders>
            <w:tcMar>
              <w:top w:w="43" w:type="dxa"/>
              <w:left w:w="43" w:type="dxa"/>
              <w:bottom w:w="43" w:type="dxa"/>
              <w:right w:w="43" w:type="dxa"/>
            </w:tcMar>
            <w:vAlign w:val="bottom"/>
          </w:tcPr>
          <w:p w14:paraId="3BD10994" w14:textId="77777777" w:rsidR="00340A38" w:rsidRDefault="00000000">
            <w:pPr>
              <w:keepLines/>
              <w:spacing w:after="0" w:line="240" w:lineRule="auto"/>
              <w:rPr>
                <w:sz w:val="20"/>
                <w:szCs w:val="20"/>
              </w:rPr>
            </w:pPr>
            <w:r>
              <w:rPr>
                <w:sz w:val="20"/>
                <w:szCs w:val="20"/>
              </w:rPr>
              <w:t>The book value of total debts divided by total assets</w:t>
            </w:r>
          </w:p>
        </w:tc>
      </w:tr>
      <w:tr w:rsidR="00340A38" w14:paraId="48EEFD7F" w14:textId="77777777">
        <w:trPr>
          <w:cantSplit/>
          <w:trHeight w:val="453"/>
        </w:trPr>
        <w:tc>
          <w:tcPr>
            <w:tcW w:w="8640" w:type="dxa"/>
            <w:gridSpan w:val="2"/>
            <w:tcBorders>
              <w:top w:val="nil"/>
              <w:bottom w:val="single" w:sz="8" w:space="0" w:color="000000"/>
            </w:tcBorders>
            <w:shd w:val="clear" w:color="auto" w:fill="auto"/>
            <w:tcMar>
              <w:top w:w="43" w:type="dxa"/>
              <w:left w:w="43" w:type="dxa"/>
              <w:bottom w:w="43" w:type="dxa"/>
              <w:right w:w="43" w:type="dxa"/>
            </w:tcMar>
            <w:vAlign w:val="bottom"/>
          </w:tcPr>
          <w:p w14:paraId="2BE34586" w14:textId="77777777" w:rsidR="00340A38" w:rsidRDefault="00000000">
            <w:pPr>
              <w:spacing w:after="0" w:line="240" w:lineRule="auto"/>
              <w:rPr>
                <w:b/>
                <w:sz w:val="20"/>
                <w:szCs w:val="20"/>
              </w:rPr>
            </w:pPr>
            <w:r>
              <w:rPr>
                <w:b/>
                <w:sz w:val="20"/>
                <w:szCs w:val="20"/>
              </w:rPr>
              <w:t xml:space="preserve">Panel B: CEO Power </w:t>
            </w:r>
          </w:p>
        </w:tc>
      </w:tr>
      <w:tr w:rsidR="00340A38" w14:paraId="780AABB8" w14:textId="77777777">
        <w:trPr>
          <w:cantSplit/>
          <w:trHeight w:val="453"/>
        </w:trPr>
        <w:tc>
          <w:tcPr>
            <w:tcW w:w="2730" w:type="dxa"/>
            <w:tcBorders>
              <w:top w:val="single" w:sz="8" w:space="0" w:color="000000"/>
            </w:tcBorders>
            <w:shd w:val="clear" w:color="auto" w:fill="auto"/>
            <w:tcMar>
              <w:top w:w="43" w:type="dxa"/>
              <w:left w:w="43" w:type="dxa"/>
              <w:bottom w:w="43" w:type="dxa"/>
              <w:right w:w="43" w:type="dxa"/>
            </w:tcMar>
            <w:vAlign w:val="bottom"/>
          </w:tcPr>
          <w:p w14:paraId="137FC67C" w14:textId="77777777" w:rsidR="00340A38" w:rsidRDefault="00000000">
            <w:pPr>
              <w:keepLines/>
              <w:widowControl w:val="0"/>
              <w:spacing w:after="0" w:line="240" w:lineRule="auto"/>
              <w:rPr>
                <w:sz w:val="20"/>
                <w:szCs w:val="20"/>
              </w:rPr>
            </w:pPr>
            <w:r>
              <w:rPr>
                <w:sz w:val="20"/>
                <w:szCs w:val="20"/>
              </w:rPr>
              <w:t>Duality (CDUA)</w:t>
            </w:r>
          </w:p>
        </w:tc>
        <w:tc>
          <w:tcPr>
            <w:tcW w:w="5910" w:type="dxa"/>
            <w:shd w:val="clear" w:color="auto" w:fill="auto"/>
            <w:tcMar>
              <w:top w:w="43" w:type="dxa"/>
              <w:left w:w="43" w:type="dxa"/>
              <w:bottom w:w="43" w:type="dxa"/>
              <w:right w:w="43" w:type="dxa"/>
            </w:tcMar>
            <w:vAlign w:val="bottom"/>
          </w:tcPr>
          <w:p w14:paraId="27EE3241" w14:textId="77777777" w:rsidR="00340A38" w:rsidRDefault="00000000">
            <w:pPr>
              <w:keepLines/>
              <w:widowControl w:val="0"/>
              <w:spacing w:after="0" w:line="240" w:lineRule="auto"/>
              <w:rPr>
                <w:sz w:val="20"/>
                <w:szCs w:val="20"/>
              </w:rPr>
            </w:pPr>
            <w:r>
              <w:rPr>
                <w:sz w:val="20"/>
                <w:szCs w:val="20"/>
              </w:rPr>
              <w:t>If the CEO is also the chairman of the board = 0, otherwise 1</w:t>
            </w:r>
          </w:p>
        </w:tc>
      </w:tr>
      <w:tr w:rsidR="00340A38" w14:paraId="3BAEC810" w14:textId="77777777">
        <w:trPr>
          <w:cantSplit/>
          <w:trHeight w:val="453"/>
        </w:trPr>
        <w:tc>
          <w:tcPr>
            <w:tcW w:w="2730" w:type="dxa"/>
            <w:shd w:val="clear" w:color="auto" w:fill="auto"/>
            <w:tcMar>
              <w:top w:w="43" w:type="dxa"/>
              <w:left w:w="43" w:type="dxa"/>
              <w:bottom w:w="43" w:type="dxa"/>
              <w:right w:w="43" w:type="dxa"/>
            </w:tcMar>
            <w:vAlign w:val="bottom"/>
          </w:tcPr>
          <w:p w14:paraId="4C6AB651" w14:textId="77777777" w:rsidR="00340A38" w:rsidRDefault="00000000">
            <w:pPr>
              <w:keepLines/>
              <w:widowControl w:val="0"/>
              <w:spacing w:after="0" w:line="240" w:lineRule="auto"/>
              <w:rPr>
                <w:sz w:val="20"/>
                <w:szCs w:val="20"/>
              </w:rPr>
            </w:pPr>
            <w:r>
              <w:rPr>
                <w:sz w:val="20"/>
                <w:szCs w:val="20"/>
              </w:rPr>
              <w:t>Share ownership (CSWP)</w:t>
            </w:r>
          </w:p>
        </w:tc>
        <w:tc>
          <w:tcPr>
            <w:tcW w:w="5910" w:type="dxa"/>
            <w:shd w:val="clear" w:color="auto" w:fill="auto"/>
            <w:tcMar>
              <w:top w:w="43" w:type="dxa"/>
              <w:left w:w="43" w:type="dxa"/>
              <w:bottom w:w="43" w:type="dxa"/>
              <w:right w:w="43" w:type="dxa"/>
            </w:tcMar>
            <w:vAlign w:val="bottom"/>
          </w:tcPr>
          <w:p w14:paraId="34E120A9" w14:textId="77777777" w:rsidR="00340A38" w:rsidRDefault="00000000">
            <w:pPr>
              <w:keepLines/>
              <w:widowControl w:val="0"/>
              <w:spacing w:after="0" w:line="240" w:lineRule="auto"/>
              <w:rPr>
                <w:sz w:val="20"/>
                <w:szCs w:val="20"/>
              </w:rPr>
            </w:pPr>
            <w:r>
              <w:rPr>
                <w:sz w:val="20"/>
                <w:szCs w:val="20"/>
              </w:rPr>
              <w:t>If the CEO owns more than 10% of shares = 1, otherwise 1</w:t>
            </w:r>
          </w:p>
        </w:tc>
      </w:tr>
      <w:tr w:rsidR="00340A38" w14:paraId="25D07FC8" w14:textId="77777777">
        <w:trPr>
          <w:cantSplit/>
          <w:trHeight w:val="453"/>
        </w:trPr>
        <w:tc>
          <w:tcPr>
            <w:tcW w:w="2730" w:type="dxa"/>
            <w:shd w:val="clear" w:color="auto" w:fill="auto"/>
            <w:tcMar>
              <w:top w:w="43" w:type="dxa"/>
              <w:left w:w="43" w:type="dxa"/>
              <w:bottom w:w="43" w:type="dxa"/>
              <w:right w:w="43" w:type="dxa"/>
            </w:tcMar>
            <w:vAlign w:val="bottom"/>
          </w:tcPr>
          <w:p w14:paraId="3B3DF165" w14:textId="77777777" w:rsidR="00340A38" w:rsidRDefault="00000000">
            <w:pPr>
              <w:keepLines/>
              <w:widowControl w:val="0"/>
              <w:spacing w:after="0" w:line="240" w:lineRule="auto"/>
              <w:rPr>
                <w:sz w:val="20"/>
                <w:szCs w:val="20"/>
              </w:rPr>
            </w:pPr>
            <w:r>
              <w:rPr>
                <w:sz w:val="20"/>
                <w:szCs w:val="20"/>
              </w:rPr>
              <w:t>Tenure (CTEN)</w:t>
            </w:r>
          </w:p>
        </w:tc>
        <w:tc>
          <w:tcPr>
            <w:tcW w:w="5910" w:type="dxa"/>
            <w:shd w:val="clear" w:color="auto" w:fill="auto"/>
            <w:tcMar>
              <w:top w:w="43" w:type="dxa"/>
              <w:left w:w="43" w:type="dxa"/>
              <w:bottom w:w="43" w:type="dxa"/>
              <w:right w:w="43" w:type="dxa"/>
            </w:tcMar>
            <w:vAlign w:val="bottom"/>
          </w:tcPr>
          <w:p w14:paraId="52627287" w14:textId="77777777" w:rsidR="00340A38" w:rsidRDefault="00000000">
            <w:pPr>
              <w:keepLines/>
              <w:spacing w:after="0" w:line="240" w:lineRule="auto"/>
              <w:rPr>
                <w:sz w:val="20"/>
                <w:szCs w:val="20"/>
              </w:rPr>
            </w:pPr>
            <w:r>
              <w:rPr>
                <w:sz w:val="20"/>
                <w:szCs w:val="20"/>
              </w:rPr>
              <w:t>The 10-base logarithm of the month tenure starting from the date the one works as the CEO</w:t>
            </w:r>
          </w:p>
        </w:tc>
      </w:tr>
      <w:tr w:rsidR="00340A38" w14:paraId="4A3A0872" w14:textId="77777777">
        <w:trPr>
          <w:cantSplit/>
          <w:trHeight w:val="453"/>
        </w:trPr>
        <w:tc>
          <w:tcPr>
            <w:tcW w:w="2730" w:type="dxa"/>
            <w:shd w:val="clear" w:color="auto" w:fill="auto"/>
            <w:tcMar>
              <w:top w:w="43" w:type="dxa"/>
              <w:left w:w="43" w:type="dxa"/>
              <w:bottom w:w="43" w:type="dxa"/>
              <w:right w:w="43" w:type="dxa"/>
            </w:tcMar>
            <w:vAlign w:val="bottom"/>
          </w:tcPr>
          <w:p w14:paraId="4AC2F439" w14:textId="77777777" w:rsidR="00340A38" w:rsidRDefault="00000000">
            <w:pPr>
              <w:keepLines/>
              <w:widowControl w:val="0"/>
              <w:spacing w:after="0" w:line="240" w:lineRule="auto"/>
              <w:rPr>
                <w:sz w:val="20"/>
                <w:szCs w:val="20"/>
              </w:rPr>
            </w:pPr>
            <w:r>
              <w:rPr>
                <w:sz w:val="20"/>
                <w:szCs w:val="20"/>
              </w:rPr>
              <w:t>Degree (CDEG)</w:t>
            </w:r>
          </w:p>
        </w:tc>
        <w:tc>
          <w:tcPr>
            <w:tcW w:w="5910" w:type="dxa"/>
            <w:shd w:val="clear" w:color="auto" w:fill="auto"/>
            <w:tcMar>
              <w:top w:w="43" w:type="dxa"/>
              <w:left w:w="43" w:type="dxa"/>
              <w:bottom w:w="43" w:type="dxa"/>
              <w:right w:w="43" w:type="dxa"/>
            </w:tcMar>
            <w:vAlign w:val="bottom"/>
          </w:tcPr>
          <w:p w14:paraId="341FFD02" w14:textId="77777777" w:rsidR="00340A38" w:rsidRDefault="00000000">
            <w:pPr>
              <w:keepLines/>
              <w:spacing w:after="0" w:line="240" w:lineRule="auto"/>
              <w:rPr>
                <w:sz w:val="20"/>
                <w:szCs w:val="20"/>
              </w:rPr>
            </w:pPr>
            <w:r>
              <w:rPr>
                <w:sz w:val="20"/>
                <w:szCs w:val="20"/>
              </w:rPr>
              <w:t>If the CEO owns a master's degree or above = 1, otherwise 0</w:t>
            </w:r>
          </w:p>
        </w:tc>
      </w:tr>
      <w:tr w:rsidR="00340A38" w14:paraId="0CAA0E2C" w14:textId="77777777">
        <w:trPr>
          <w:cantSplit/>
          <w:trHeight w:val="465"/>
        </w:trPr>
        <w:tc>
          <w:tcPr>
            <w:tcW w:w="2730" w:type="dxa"/>
            <w:tcBorders>
              <w:bottom w:val="nil"/>
            </w:tcBorders>
            <w:shd w:val="clear" w:color="auto" w:fill="auto"/>
            <w:tcMar>
              <w:top w:w="43" w:type="dxa"/>
              <w:left w:w="43" w:type="dxa"/>
              <w:bottom w:w="43" w:type="dxa"/>
              <w:right w:w="43" w:type="dxa"/>
            </w:tcMar>
            <w:vAlign w:val="bottom"/>
          </w:tcPr>
          <w:p w14:paraId="2F62EBA3" w14:textId="77777777" w:rsidR="00340A38" w:rsidRDefault="00000000">
            <w:pPr>
              <w:keepLines/>
              <w:widowControl w:val="0"/>
              <w:spacing w:after="0" w:line="240" w:lineRule="auto"/>
              <w:rPr>
                <w:sz w:val="20"/>
                <w:szCs w:val="20"/>
              </w:rPr>
            </w:pPr>
            <w:r>
              <w:rPr>
                <w:sz w:val="20"/>
                <w:szCs w:val="20"/>
              </w:rPr>
              <w:t>Outside service (CCON)</w:t>
            </w:r>
          </w:p>
        </w:tc>
        <w:tc>
          <w:tcPr>
            <w:tcW w:w="5910" w:type="dxa"/>
            <w:tcBorders>
              <w:bottom w:val="nil"/>
            </w:tcBorders>
            <w:shd w:val="clear" w:color="auto" w:fill="auto"/>
            <w:tcMar>
              <w:top w:w="43" w:type="dxa"/>
              <w:left w:w="43" w:type="dxa"/>
              <w:bottom w:w="43" w:type="dxa"/>
              <w:right w:w="43" w:type="dxa"/>
            </w:tcMar>
            <w:vAlign w:val="bottom"/>
          </w:tcPr>
          <w:p w14:paraId="00F6871D" w14:textId="77777777" w:rsidR="00340A38" w:rsidRDefault="00000000">
            <w:pPr>
              <w:keepLines/>
              <w:spacing w:after="0" w:line="240" w:lineRule="auto"/>
              <w:rPr>
                <w:sz w:val="20"/>
                <w:szCs w:val="20"/>
              </w:rPr>
            </w:pPr>
            <w:r>
              <w:rPr>
                <w:sz w:val="20"/>
                <w:szCs w:val="20"/>
              </w:rPr>
              <w:t>If the CEO serves on other firms’ boards = 1, otherwise 0</w:t>
            </w:r>
          </w:p>
        </w:tc>
      </w:tr>
      <w:tr w:rsidR="00340A38" w14:paraId="402611A2" w14:textId="77777777">
        <w:trPr>
          <w:cantSplit/>
          <w:trHeight w:val="465"/>
        </w:trPr>
        <w:tc>
          <w:tcPr>
            <w:tcW w:w="8640" w:type="dxa"/>
            <w:gridSpan w:val="2"/>
            <w:tcBorders>
              <w:bottom w:val="nil"/>
            </w:tcBorders>
            <w:shd w:val="clear" w:color="auto" w:fill="auto"/>
            <w:tcMar>
              <w:top w:w="43" w:type="dxa"/>
              <w:left w:w="43" w:type="dxa"/>
              <w:bottom w:w="43" w:type="dxa"/>
              <w:right w:w="43" w:type="dxa"/>
            </w:tcMar>
            <w:vAlign w:val="bottom"/>
          </w:tcPr>
          <w:p w14:paraId="72EE6F05" w14:textId="77777777" w:rsidR="00340A38" w:rsidRDefault="00000000">
            <w:pPr>
              <w:spacing w:after="0" w:line="240" w:lineRule="auto"/>
              <w:rPr>
                <w:sz w:val="20"/>
                <w:szCs w:val="20"/>
              </w:rPr>
            </w:pPr>
            <w:r>
              <w:rPr>
                <w:sz w:val="20"/>
                <w:szCs w:val="20"/>
              </w:rPr>
              <w:t>(* If there is more than one CEO, we take the average.)</w:t>
            </w:r>
          </w:p>
        </w:tc>
      </w:tr>
      <w:tr w:rsidR="00340A38" w14:paraId="0ABF8201" w14:textId="77777777">
        <w:trPr>
          <w:cantSplit/>
          <w:trHeight w:val="453"/>
        </w:trPr>
        <w:tc>
          <w:tcPr>
            <w:tcW w:w="2730" w:type="dxa"/>
            <w:tcBorders>
              <w:top w:val="nil"/>
              <w:bottom w:val="single" w:sz="8" w:space="0" w:color="000000"/>
            </w:tcBorders>
            <w:shd w:val="clear" w:color="auto" w:fill="auto"/>
            <w:tcMar>
              <w:top w:w="43" w:type="dxa"/>
              <w:left w:w="43" w:type="dxa"/>
              <w:bottom w:w="43" w:type="dxa"/>
              <w:right w:w="43" w:type="dxa"/>
            </w:tcMar>
            <w:vAlign w:val="bottom"/>
          </w:tcPr>
          <w:p w14:paraId="0F7F4AD9" w14:textId="77777777" w:rsidR="00340A38" w:rsidRDefault="00000000">
            <w:pPr>
              <w:spacing w:after="0" w:line="240" w:lineRule="auto"/>
              <w:rPr>
                <w:b/>
                <w:sz w:val="20"/>
                <w:szCs w:val="20"/>
              </w:rPr>
            </w:pPr>
            <w:r>
              <w:rPr>
                <w:b/>
                <w:sz w:val="18"/>
                <w:szCs w:val="18"/>
              </w:rPr>
              <w:t>Panel C: BOD Power</w:t>
            </w:r>
          </w:p>
        </w:tc>
        <w:tc>
          <w:tcPr>
            <w:tcW w:w="5910" w:type="dxa"/>
            <w:tcBorders>
              <w:top w:val="nil"/>
              <w:bottom w:val="single" w:sz="8" w:space="0" w:color="000000"/>
            </w:tcBorders>
            <w:shd w:val="clear" w:color="auto" w:fill="auto"/>
            <w:tcMar>
              <w:top w:w="43" w:type="dxa"/>
              <w:left w:w="43" w:type="dxa"/>
              <w:bottom w:w="43" w:type="dxa"/>
              <w:right w:w="43" w:type="dxa"/>
            </w:tcMar>
            <w:vAlign w:val="bottom"/>
          </w:tcPr>
          <w:p w14:paraId="216715E4" w14:textId="77777777" w:rsidR="00340A38" w:rsidRDefault="00340A38">
            <w:pPr>
              <w:keepLines/>
              <w:spacing w:after="0" w:line="240" w:lineRule="auto"/>
              <w:rPr>
                <w:sz w:val="20"/>
                <w:szCs w:val="20"/>
              </w:rPr>
            </w:pPr>
          </w:p>
        </w:tc>
      </w:tr>
      <w:tr w:rsidR="00340A38" w14:paraId="3364EF80" w14:textId="77777777" w:rsidTr="00520A60">
        <w:trPr>
          <w:cantSplit/>
          <w:trHeight w:val="304"/>
        </w:trPr>
        <w:tc>
          <w:tcPr>
            <w:tcW w:w="2730" w:type="dxa"/>
            <w:shd w:val="clear" w:color="auto" w:fill="auto"/>
            <w:tcMar>
              <w:top w:w="100" w:type="dxa"/>
              <w:left w:w="100" w:type="dxa"/>
              <w:bottom w:w="100" w:type="dxa"/>
              <w:right w:w="100" w:type="dxa"/>
            </w:tcMar>
            <w:vAlign w:val="bottom"/>
          </w:tcPr>
          <w:p w14:paraId="6FEB2059" w14:textId="77777777" w:rsidR="00340A38" w:rsidRDefault="00000000">
            <w:pPr>
              <w:widowControl w:val="0"/>
              <w:spacing w:after="0" w:line="240" w:lineRule="auto"/>
              <w:rPr>
                <w:sz w:val="20"/>
                <w:szCs w:val="20"/>
              </w:rPr>
            </w:pPr>
            <w:r>
              <w:rPr>
                <w:sz w:val="20"/>
                <w:szCs w:val="20"/>
              </w:rPr>
              <w:t>Size (BDN)</w:t>
            </w:r>
          </w:p>
        </w:tc>
        <w:tc>
          <w:tcPr>
            <w:tcW w:w="5910" w:type="dxa"/>
            <w:shd w:val="clear" w:color="auto" w:fill="auto"/>
            <w:tcMar>
              <w:top w:w="100" w:type="dxa"/>
              <w:left w:w="100" w:type="dxa"/>
              <w:bottom w:w="100" w:type="dxa"/>
              <w:right w:w="100" w:type="dxa"/>
            </w:tcMar>
            <w:vAlign w:val="bottom"/>
          </w:tcPr>
          <w:p w14:paraId="2A44FB2E" w14:textId="77777777" w:rsidR="00340A38" w:rsidRDefault="00000000">
            <w:pPr>
              <w:spacing w:after="0" w:line="240" w:lineRule="auto"/>
              <w:rPr>
                <w:sz w:val="20"/>
                <w:szCs w:val="20"/>
              </w:rPr>
            </w:pPr>
            <w:r>
              <w:rPr>
                <w:sz w:val="20"/>
                <w:szCs w:val="20"/>
              </w:rPr>
              <w:t>The number of people on board</w:t>
            </w:r>
          </w:p>
        </w:tc>
      </w:tr>
      <w:tr w:rsidR="00340A38" w14:paraId="6DB32CA0" w14:textId="77777777" w:rsidTr="00520A60">
        <w:trPr>
          <w:cantSplit/>
          <w:trHeight w:val="368"/>
        </w:trPr>
        <w:tc>
          <w:tcPr>
            <w:tcW w:w="2730" w:type="dxa"/>
            <w:shd w:val="clear" w:color="auto" w:fill="auto"/>
            <w:tcMar>
              <w:top w:w="100" w:type="dxa"/>
              <w:left w:w="100" w:type="dxa"/>
              <w:bottom w:w="100" w:type="dxa"/>
              <w:right w:w="100" w:type="dxa"/>
            </w:tcMar>
            <w:vAlign w:val="bottom"/>
          </w:tcPr>
          <w:p w14:paraId="4244C888" w14:textId="77777777" w:rsidR="00340A38" w:rsidRDefault="00000000">
            <w:pPr>
              <w:widowControl w:val="0"/>
              <w:spacing w:after="0" w:line="240" w:lineRule="auto"/>
              <w:rPr>
                <w:sz w:val="20"/>
                <w:szCs w:val="20"/>
              </w:rPr>
            </w:pPr>
            <w:r>
              <w:rPr>
                <w:sz w:val="20"/>
                <w:szCs w:val="20"/>
              </w:rPr>
              <w:t>Independence (BIND)</w:t>
            </w:r>
          </w:p>
        </w:tc>
        <w:tc>
          <w:tcPr>
            <w:tcW w:w="5910" w:type="dxa"/>
            <w:shd w:val="clear" w:color="auto" w:fill="auto"/>
            <w:tcMar>
              <w:top w:w="100" w:type="dxa"/>
              <w:left w:w="100" w:type="dxa"/>
              <w:bottom w:w="100" w:type="dxa"/>
              <w:right w:w="100" w:type="dxa"/>
            </w:tcMar>
            <w:vAlign w:val="bottom"/>
          </w:tcPr>
          <w:p w14:paraId="63CDEABC" w14:textId="77777777" w:rsidR="00340A38" w:rsidRDefault="00000000">
            <w:pPr>
              <w:spacing w:after="0" w:line="240" w:lineRule="auto"/>
              <w:rPr>
                <w:sz w:val="20"/>
                <w:szCs w:val="20"/>
              </w:rPr>
            </w:pPr>
            <w:r>
              <w:rPr>
                <w:sz w:val="20"/>
                <w:szCs w:val="20"/>
              </w:rPr>
              <w:t>The ratio of outside independent directors on the board</w:t>
            </w:r>
          </w:p>
        </w:tc>
      </w:tr>
      <w:tr w:rsidR="00340A38" w14:paraId="78102EE6" w14:textId="77777777" w:rsidTr="00520A60">
        <w:trPr>
          <w:cantSplit/>
          <w:trHeight w:val="362"/>
        </w:trPr>
        <w:tc>
          <w:tcPr>
            <w:tcW w:w="2730" w:type="dxa"/>
            <w:shd w:val="clear" w:color="auto" w:fill="auto"/>
            <w:tcMar>
              <w:top w:w="100" w:type="dxa"/>
              <w:left w:w="100" w:type="dxa"/>
              <w:bottom w:w="100" w:type="dxa"/>
              <w:right w:w="100" w:type="dxa"/>
            </w:tcMar>
            <w:vAlign w:val="bottom"/>
          </w:tcPr>
          <w:p w14:paraId="0DC3D969" w14:textId="77777777" w:rsidR="00340A38" w:rsidRDefault="00000000">
            <w:pPr>
              <w:widowControl w:val="0"/>
              <w:spacing w:after="0" w:line="240" w:lineRule="auto"/>
              <w:rPr>
                <w:sz w:val="20"/>
                <w:szCs w:val="20"/>
              </w:rPr>
            </w:pPr>
            <w:r>
              <w:rPr>
                <w:sz w:val="20"/>
                <w:szCs w:val="20"/>
              </w:rPr>
              <w:t>Share ownership (BSWP)</w:t>
            </w:r>
          </w:p>
        </w:tc>
        <w:tc>
          <w:tcPr>
            <w:tcW w:w="5910" w:type="dxa"/>
            <w:shd w:val="clear" w:color="auto" w:fill="auto"/>
            <w:tcMar>
              <w:top w:w="100" w:type="dxa"/>
              <w:left w:w="100" w:type="dxa"/>
              <w:bottom w:w="100" w:type="dxa"/>
              <w:right w:w="100" w:type="dxa"/>
            </w:tcMar>
            <w:vAlign w:val="bottom"/>
          </w:tcPr>
          <w:p w14:paraId="2D78382F" w14:textId="77777777" w:rsidR="00340A38" w:rsidRDefault="00000000">
            <w:pPr>
              <w:spacing w:after="0" w:line="240" w:lineRule="auto"/>
              <w:rPr>
                <w:sz w:val="20"/>
                <w:szCs w:val="20"/>
              </w:rPr>
            </w:pPr>
            <w:r>
              <w:rPr>
                <w:sz w:val="20"/>
                <w:szCs w:val="20"/>
              </w:rPr>
              <w:t>The ratio of share ownership</w:t>
            </w:r>
          </w:p>
        </w:tc>
      </w:tr>
      <w:tr w:rsidR="00340A38" w14:paraId="22378620" w14:textId="77777777">
        <w:trPr>
          <w:cantSplit/>
          <w:trHeight w:val="453"/>
        </w:trPr>
        <w:tc>
          <w:tcPr>
            <w:tcW w:w="2730" w:type="dxa"/>
            <w:tcBorders>
              <w:bottom w:val="single" w:sz="8" w:space="0" w:color="000000"/>
            </w:tcBorders>
            <w:shd w:val="clear" w:color="auto" w:fill="auto"/>
            <w:tcMar>
              <w:top w:w="100" w:type="dxa"/>
              <w:left w:w="100" w:type="dxa"/>
              <w:bottom w:w="100" w:type="dxa"/>
              <w:right w:w="100" w:type="dxa"/>
            </w:tcMar>
            <w:vAlign w:val="bottom"/>
          </w:tcPr>
          <w:p w14:paraId="1FE426DE" w14:textId="77777777" w:rsidR="00340A38" w:rsidRDefault="00000000">
            <w:pPr>
              <w:spacing w:after="0" w:line="240" w:lineRule="auto"/>
              <w:rPr>
                <w:sz w:val="20"/>
                <w:szCs w:val="20"/>
              </w:rPr>
            </w:pPr>
            <w:r>
              <w:rPr>
                <w:b/>
                <w:sz w:val="18"/>
                <w:szCs w:val="18"/>
              </w:rPr>
              <w:t>Panel D: II Power</w:t>
            </w:r>
          </w:p>
        </w:tc>
        <w:tc>
          <w:tcPr>
            <w:tcW w:w="5910" w:type="dxa"/>
            <w:tcBorders>
              <w:bottom w:val="single" w:sz="8" w:space="0" w:color="000000"/>
            </w:tcBorders>
            <w:shd w:val="clear" w:color="auto" w:fill="auto"/>
            <w:tcMar>
              <w:top w:w="100" w:type="dxa"/>
              <w:left w:w="100" w:type="dxa"/>
              <w:bottom w:w="100" w:type="dxa"/>
              <w:right w:w="100" w:type="dxa"/>
            </w:tcMar>
            <w:vAlign w:val="bottom"/>
          </w:tcPr>
          <w:p w14:paraId="0EB3C920" w14:textId="77777777" w:rsidR="00340A38" w:rsidRDefault="00340A38">
            <w:pPr>
              <w:spacing w:after="0" w:line="240" w:lineRule="auto"/>
              <w:rPr>
                <w:sz w:val="20"/>
                <w:szCs w:val="20"/>
              </w:rPr>
            </w:pPr>
          </w:p>
        </w:tc>
      </w:tr>
      <w:tr w:rsidR="00340A38" w14:paraId="52F19595" w14:textId="77777777" w:rsidTr="00520A60">
        <w:trPr>
          <w:cantSplit/>
          <w:trHeight w:val="423"/>
        </w:trPr>
        <w:tc>
          <w:tcPr>
            <w:tcW w:w="2730" w:type="dxa"/>
            <w:shd w:val="clear" w:color="auto" w:fill="auto"/>
            <w:tcMar>
              <w:top w:w="100" w:type="dxa"/>
              <w:left w:w="100" w:type="dxa"/>
              <w:bottom w:w="100" w:type="dxa"/>
              <w:right w:w="100" w:type="dxa"/>
            </w:tcMar>
            <w:vAlign w:val="bottom"/>
          </w:tcPr>
          <w:p w14:paraId="472147A0" w14:textId="77777777" w:rsidR="00340A38" w:rsidRDefault="00000000">
            <w:pPr>
              <w:widowControl w:val="0"/>
              <w:spacing w:after="0" w:line="240" w:lineRule="auto"/>
              <w:rPr>
                <w:sz w:val="20"/>
                <w:szCs w:val="20"/>
              </w:rPr>
            </w:pPr>
            <w:r>
              <w:rPr>
                <w:sz w:val="20"/>
                <w:szCs w:val="20"/>
              </w:rPr>
              <w:t>Activeness</w:t>
            </w:r>
            <w:r>
              <w:rPr>
                <w:i/>
                <w:sz w:val="20"/>
                <w:szCs w:val="20"/>
              </w:rPr>
              <w:t xml:space="preserve"> </w:t>
            </w:r>
            <w:r>
              <w:rPr>
                <w:sz w:val="20"/>
                <w:szCs w:val="20"/>
              </w:rPr>
              <w:t>(IACT)</w:t>
            </w:r>
          </w:p>
        </w:tc>
        <w:tc>
          <w:tcPr>
            <w:tcW w:w="5910" w:type="dxa"/>
            <w:shd w:val="clear" w:color="auto" w:fill="auto"/>
            <w:tcMar>
              <w:top w:w="100" w:type="dxa"/>
              <w:left w:w="100" w:type="dxa"/>
              <w:bottom w:w="100" w:type="dxa"/>
              <w:right w:w="100" w:type="dxa"/>
            </w:tcMar>
            <w:vAlign w:val="bottom"/>
          </w:tcPr>
          <w:p w14:paraId="62C5A256" w14:textId="77777777" w:rsidR="00340A38" w:rsidRDefault="00000000">
            <w:pPr>
              <w:spacing w:after="0" w:line="240" w:lineRule="auto"/>
              <w:rPr>
                <w:sz w:val="20"/>
                <w:szCs w:val="20"/>
              </w:rPr>
            </w:pPr>
            <w:r>
              <w:rPr>
                <w:sz w:val="20"/>
                <w:szCs w:val="20"/>
              </w:rPr>
              <w:t>The proportion of active institutional investors</w:t>
            </w:r>
          </w:p>
        </w:tc>
      </w:tr>
      <w:tr w:rsidR="00340A38" w14:paraId="734652F4" w14:textId="77777777">
        <w:trPr>
          <w:cantSplit/>
          <w:trHeight w:val="453"/>
        </w:trPr>
        <w:tc>
          <w:tcPr>
            <w:tcW w:w="2730" w:type="dxa"/>
            <w:tcBorders>
              <w:bottom w:val="single" w:sz="8" w:space="0" w:color="000000"/>
            </w:tcBorders>
            <w:shd w:val="clear" w:color="auto" w:fill="auto"/>
            <w:tcMar>
              <w:top w:w="100" w:type="dxa"/>
              <w:left w:w="100" w:type="dxa"/>
              <w:bottom w:w="100" w:type="dxa"/>
              <w:right w:w="100" w:type="dxa"/>
            </w:tcMar>
            <w:vAlign w:val="bottom"/>
          </w:tcPr>
          <w:p w14:paraId="190454E4" w14:textId="77777777" w:rsidR="00340A38" w:rsidRDefault="00000000">
            <w:pPr>
              <w:spacing w:after="0" w:line="240" w:lineRule="auto"/>
              <w:rPr>
                <w:sz w:val="20"/>
                <w:szCs w:val="20"/>
              </w:rPr>
            </w:pPr>
            <w:r>
              <w:rPr>
                <w:b/>
                <w:sz w:val="18"/>
                <w:szCs w:val="18"/>
              </w:rPr>
              <w:t>Panel E: Control Variables</w:t>
            </w:r>
          </w:p>
        </w:tc>
        <w:tc>
          <w:tcPr>
            <w:tcW w:w="5910" w:type="dxa"/>
            <w:tcBorders>
              <w:bottom w:val="single" w:sz="8" w:space="0" w:color="000000"/>
            </w:tcBorders>
            <w:shd w:val="clear" w:color="auto" w:fill="auto"/>
            <w:tcMar>
              <w:top w:w="100" w:type="dxa"/>
              <w:left w:w="100" w:type="dxa"/>
              <w:bottom w:w="100" w:type="dxa"/>
              <w:right w:w="100" w:type="dxa"/>
            </w:tcMar>
            <w:vAlign w:val="bottom"/>
          </w:tcPr>
          <w:p w14:paraId="5639678C" w14:textId="77777777" w:rsidR="00340A38" w:rsidRDefault="00340A38">
            <w:pPr>
              <w:spacing w:after="0" w:line="240" w:lineRule="auto"/>
              <w:rPr>
                <w:sz w:val="20"/>
                <w:szCs w:val="20"/>
              </w:rPr>
            </w:pPr>
          </w:p>
        </w:tc>
      </w:tr>
      <w:tr w:rsidR="00340A38" w14:paraId="2C78B628" w14:textId="77777777" w:rsidTr="00520A60">
        <w:trPr>
          <w:cantSplit/>
          <w:trHeight w:val="346"/>
        </w:trPr>
        <w:tc>
          <w:tcPr>
            <w:tcW w:w="2730" w:type="dxa"/>
            <w:shd w:val="clear" w:color="auto" w:fill="auto"/>
            <w:tcMar>
              <w:top w:w="100" w:type="dxa"/>
              <w:left w:w="100" w:type="dxa"/>
              <w:bottom w:w="100" w:type="dxa"/>
              <w:right w:w="100" w:type="dxa"/>
            </w:tcMar>
            <w:vAlign w:val="bottom"/>
          </w:tcPr>
          <w:p w14:paraId="6BE94676" w14:textId="77777777" w:rsidR="00340A38" w:rsidRDefault="00000000">
            <w:pPr>
              <w:widowControl w:val="0"/>
              <w:spacing w:after="0" w:line="240" w:lineRule="auto"/>
              <w:rPr>
                <w:sz w:val="20"/>
                <w:szCs w:val="20"/>
              </w:rPr>
            </w:pPr>
            <w:r>
              <w:rPr>
                <w:sz w:val="20"/>
                <w:szCs w:val="20"/>
              </w:rPr>
              <w:t xml:space="preserve">SIZE </w:t>
            </w:r>
          </w:p>
        </w:tc>
        <w:tc>
          <w:tcPr>
            <w:tcW w:w="5910" w:type="dxa"/>
            <w:shd w:val="clear" w:color="auto" w:fill="auto"/>
            <w:tcMar>
              <w:top w:w="100" w:type="dxa"/>
              <w:left w:w="100" w:type="dxa"/>
              <w:bottom w:w="100" w:type="dxa"/>
              <w:right w:w="100" w:type="dxa"/>
            </w:tcMar>
            <w:vAlign w:val="bottom"/>
          </w:tcPr>
          <w:p w14:paraId="6F410564" w14:textId="77777777" w:rsidR="00340A38" w:rsidRDefault="00000000">
            <w:pPr>
              <w:spacing w:after="0" w:line="240" w:lineRule="auto"/>
              <w:rPr>
                <w:sz w:val="20"/>
                <w:szCs w:val="20"/>
              </w:rPr>
            </w:pPr>
            <w:r>
              <w:rPr>
                <w:sz w:val="20"/>
                <w:szCs w:val="20"/>
              </w:rPr>
              <w:t>Firm size, calculated as the natural logarithm of total assets</w:t>
            </w:r>
          </w:p>
        </w:tc>
      </w:tr>
      <w:tr w:rsidR="00340A38" w14:paraId="457829E2" w14:textId="77777777" w:rsidTr="00520A60">
        <w:trPr>
          <w:cantSplit/>
          <w:trHeight w:val="382"/>
        </w:trPr>
        <w:tc>
          <w:tcPr>
            <w:tcW w:w="2730" w:type="dxa"/>
            <w:shd w:val="clear" w:color="auto" w:fill="auto"/>
            <w:tcMar>
              <w:top w:w="100" w:type="dxa"/>
              <w:left w:w="100" w:type="dxa"/>
              <w:bottom w:w="100" w:type="dxa"/>
              <w:right w:w="100" w:type="dxa"/>
            </w:tcMar>
            <w:vAlign w:val="bottom"/>
          </w:tcPr>
          <w:p w14:paraId="2DF0D481" w14:textId="77777777" w:rsidR="00340A38" w:rsidRDefault="00000000">
            <w:pPr>
              <w:widowControl w:val="0"/>
              <w:spacing w:after="0" w:line="240" w:lineRule="auto"/>
              <w:rPr>
                <w:sz w:val="20"/>
                <w:szCs w:val="20"/>
              </w:rPr>
            </w:pPr>
            <w:r>
              <w:rPr>
                <w:sz w:val="20"/>
                <w:szCs w:val="20"/>
              </w:rPr>
              <w:t>TANG</w:t>
            </w:r>
          </w:p>
        </w:tc>
        <w:tc>
          <w:tcPr>
            <w:tcW w:w="5910" w:type="dxa"/>
            <w:shd w:val="clear" w:color="auto" w:fill="auto"/>
            <w:tcMar>
              <w:top w:w="100" w:type="dxa"/>
              <w:left w:w="100" w:type="dxa"/>
              <w:bottom w:w="100" w:type="dxa"/>
              <w:right w:w="100" w:type="dxa"/>
            </w:tcMar>
            <w:vAlign w:val="bottom"/>
          </w:tcPr>
          <w:p w14:paraId="0B1526A4" w14:textId="77777777" w:rsidR="00340A38" w:rsidRDefault="00000000">
            <w:pPr>
              <w:spacing w:after="0" w:line="240" w:lineRule="auto"/>
              <w:rPr>
                <w:sz w:val="20"/>
                <w:szCs w:val="20"/>
              </w:rPr>
            </w:pPr>
            <w:r>
              <w:rPr>
                <w:sz w:val="20"/>
                <w:szCs w:val="20"/>
              </w:rPr>
              <w:t>The natural logarithm of the ratio of tangible assets over total assets</w:t>
            </w:r>
          </w:p>
        </w:tc>
      </w:tr>
      <w:tr w:rsidR="00340A38" w14:paraId="1961AD3F" w14:textId="77777777" w:rsidTr="00520A60">
        <w:trPr>
          <w:cantSplit/>
          <w:trHeight w:val="362"/>
        </w:trPr>
        <w:tc>
          <w:tcPr>
            <w:tcW w:w="2730" w:type="dxa"/>
            <w:shd w:val="clear" w:color="auto" w:fill="auto"/>
            <w:tcMar>
              <w:top w:w="100" w:type="dxa"/>
              <w:left w:w="100" w:type="dxa"/>
              <w:bottom w:w="100" w:type="dxa"/>
              <w:right w:w="100" w:type="dxa"/>
            </w:tcMar>
            <w:vAlign w:val="bottom"/>
          </w:tcPr>
          <w:p w14:paraId="2DEBA7CE" w14:textId="77777777" w:rsidR="00340A38" w:rsidRDefault="00000000">
            <w:pPr>
              <w:widowControl w:val="0"/>
              <w:spacing w:after="0" w:line="240" w:lineRule="auto"/>
              <w:rPr>
                <w:sz w:val="20"/>
                <w:szCs w:val="20"/>
              </w:rPr>
            </w:pPr>
            <w:r>
              <w:rPr>
                <w:sz w:val="20"/>
                <w:szCs w:val="20"/>
              </w:rPr>
              <w:t>ROA</w:t>
            </w:r>
          </w:p>
        </w:tc>
        <w:tc>
          <w:tcPr>
            <w:tcW w:w="5910" w:type="dxa"/>
            <w:shd w:val="clear" w:color="auto" w:fill="auto"/>
            <w:tcMar>
              <w:top w:w="100" w:type="dxa"/>
              <w:left w:w="100" w:type="dxa"/>
              <w:bottom w:w="100" w:type="dxa"/>
              <w:right w:w="100" w:type="dxa"/>
            </w:tcMar>
            <w:vAlign w:val="bottom"/>
          </w:tcPr>
          <w:p w14:paraId="44916878" w14:textId="77777777" w:rsidR="00340A38" w:rsidRDefault="00000000">
            <w:pPr>
              <w:spacing w:after="0" w:line="240" w:lineRule="auto"/>
              <w:rPr>
                <w:sz w:val="20"/>
                <w:szCs w:val="20"/>
              </w:rPr>
            </w:pPr>
            <w:r>
              <w:rPr>
                <w:sz w:val="20"/>
                <w:szCs w:val="20"/>
              </w:rPr>
              <w:t>The ratio of share ownership</w:t>
            </w:r>
          </w:p>
        </w:tc>
      </w:tr>
    </w:tbl>
    <w:p w14:paraId="534001B5" w14:textId="77777777" w:rsidR="00340A38" w:rsidRDefault="00340A38">
      <w:pPr>
        <w:spacing w:after="0"/>
      </w:pPr>
    </w:p>
    <w:p w14:paraId="4677218D" w14:textId="6A33B2CB" w:rsidR="00340A38" w:rsidRDefault="00000000">
      <w:pPr>
        <w:pStyle w:val="Heading1"/>
        <w:spacing w:after="200"/>
        <w:ind w:left="0" w:firstLine="0"/>
      </w:pPr>
      <w:bookmarkStart w:id="37" w:name="_jm2mu96v55cl" w:colFirst="0" w:colLast="0"/>
      <w:bookmarkEnd w:id="37"/>
      <w:r>
        <w:br w:type="page"/>
      </w:r>
      <w:bookmarkStart w:id="38" w:name="_8wwmkvinqvd8" w:colFirst="0" w:colLast="0"/>
      <w:bookmarkEnd w:id="38"/>
      <w:r>
        <w:lastRenderedPageBreak/>
        <w:t>References:</w:t>
      </w:r>
    </w:p>
    <w:p w14:paraId="634F022D" w14:textId="77777777" w:rsidR="00340A38" w:rsidRDefault="00000000">
      <w:pPr>
        <w:ind w:left="720"/>
      </w:pPr>
      <w:r>
        <w:t>Adams, R. B. (2007). A theory of friendly boards. The Journal of Finance, 62(1).</w:t>
      </w:r>
    </w:p>
    <w:p w14:paraId="69135E06" w14:textId="77777777" w:rsidR="00340A38" w:rsidRDefault="00000000">
      <w:pPr>
        <w:ind w:left="720" w:hanging="720"/>
      </w:pPr>
      <w:proofErr w:type="spellStart"/>
      <w:r>
        <w:t>Aharony</w:t>
      </w:r>
      <w:proofErr w:type="spellEnd"/>
      <w:r>
        <w:t>, J., Lee, C. J., &amp; Wong, T. J. (2000). Financial packaging of IPO firms in China. Journal of Accounting Research.</w:t>
      </w:r>
    </w:p>
    <w:p w14:paraId="270AF8AD" w14:textId="77777777" w:rsidR="00340A38" w:rsidRDefault="00000000">
      <w:pPr>
        <w:ind w:left="720"/>
      </w:pPr>
      <w:r>
        <w:t>Bai, C.-E., Lu, J., &amp; Tao, Z. (2006). The multitask theory of state enterprise reform: Empirical evidence from China. American Economic Review, 96(2), 353-357.</w:t>
      </w:r>
    </w:p>
    <w:p w14:paraId="6AF2DF49" w14:textId="77777777" w:rsidR="00340A38" w:rsidRDefault="00000000">
      <w:pPr>
        <w:ind w:left="720"/>
      </w:pPr>
      <w:r>
        <w:t xml:space="preserve">Baker, M., &amp; </w:t>
      </w:r>
      <w:proofErr w:type="spellStart"/>
      <w:r>
        <w:t>Wurgler</w:t>
      </w:r>
      <w:proofErr w:type="spellEnd"/>
      <w:r>
        <w:t>, J. (2002). Market timing and capital structure. Journal of Finance, 57(1), 1–32.</w:t>
      </w:r>
    </w:p>
    <w:p w14:paraId="026CD694" w14:textId="77777777" w:rsidR="00340A38" w:rsidRDefault="00000000">
      <w:pPr>
        <w:ind w:left="720"/>
      </w:pPr>
      <w:proofErr w:type="spellStart"/>
      <w:r>
        <w:t>Baltagi</w:t>
      </w:r>
      <w:proofErr w:type="spellEnd"/>
      <w:r>
        <w:t xml:space="preserve">, B. H., &amp; </w:t>
      </w:r>
      <w:proofErr w:type="spellStart"/>
      <w:r>
        <w:t>Baltagi</w:t>
      </w:r>
      <w:proofErr w:type="spellEnd"/>
      <w:r>
        <w:t>, B. H. (2008). Econometric analysis of panel data (Vol. 4, pp. 135-145). Chichester: Wiley.</w:t>
      </w:r>
    </w:p>
    <w:p w14:paraId="2470A430" w14:textId="77777777" w:rsidR="00340A38" w:rsidRDefault="00000000">
      <w:pPr>
        <w:ind w:left="720" w:hanging="720"/>
      </w:pPr>
      <w:r>
        <w:t>Bo, X., &amp; Wu, L. (2009). The governance effect of state ownership and institutional investors: A perspective from earnings management. Economic Research, 2(8).</w:t>
      </w:r>
    </w:p>
    <w:p w14:paraId="105796AA" w14:textId="77777777" w:rsidR="00340A38" w:rsidRDefault="00000000">
      <w:pPr>
        <w:ind w:left="720"/>
      </w:pPr>
      <w:r>
        <w:t xml:space="preserve">Boone, A. L., Field, L. C., </w:t>
      </w:r>
      <w:proofErr w:type="spellStart"/>
      <w:r>
        <w:t>Karpoff</w:t>
      </w:r>
      <w:proofErr w:type="spellEnd"/>
      <w:r>
        <w:t>, J. M., &amp; Raheja, C. G. (2007). The determinants of corporate board size and composition: An empirical analysis. Journal of Financial Economics, 85(1), 66-101.</w:t>
      </w:r>
    </w:p>
    <w:p w14:paraId="0B3BBE58" w14:textId="77777777" w:rsidR="00340A38" w:rsidRDefault="00000000">
      <w:pPr>
        <w:ind w:left="720" w:hanging="720"/>
      </w:pPr>
      <w:r>
        <w:t xml:space="preserve">Brandt, L., &amp; Li, H. (2003). Bank discrimination in transition economies: Ideology, </w:t>
      </w:r>
      <w:proofErr w:type="gramStart"/>
      <w:r>
        <w:t>information</w:t>
      </w:r>
      <w:proofErr w:type="gramEnd"/>
      <w:r>
        <w:t xml:space="preserve"> or incentives? Journal of Comparative Economics, 31, 387-413.</w:t>
      </w:r>
    </w:p>
    <w:p w14:paraId="0E01ED7E" w14:textId="77777777" w:rsidR="00340A38" w:rsidRDefault="00000000">
      <w:pPr>
        <w:ind w:left="720"/>
      </w:pPr>
      <w:proofErr w:type="spellStart"/>
      <w:r>
        <w:t>Brickley</w:t>
      </w:r>
      <w:proofErr w:type="spellEnd"/>
      <w:r>
        <w:t>, J. A., Lease, R. C., &amp; Smith, C. W., Jr. (1988). Ownership structure and voting on antitakeover amendments. Journal of Financial Economics, 20, 267-291.</w:t>
      </w:r>
    </w:p>
    <w:p w14:paraId="7B00C519" w14:textId="77777777" w:rsidR="00340A38" w:rsidRDefault="00000000">
      <w:pPr>
        <w:ind w:left="720"/>
      </w:pPr>
      <w:proofErr w:type="spellStart"/>
      <w:r>
        <w:t>Brusov</w:t>
      </w:r>
      <w:proofErr w:type="spellEnd"/>
      <w:r>
        <w:t>, P., et al. (2011). Weighted average cost of capital in the theory of Modigliani–Miller, modified for a finite lifetime company. Applied Financial Economics, 21(11), 815-824.</w:t>
      </w:r>
    </w:p>
    <w:p w14:paraId="6796577A" w14:textId="77777777" w:rsidR="00340A38" w:rsidRDefault="00000000">
      <w:pPr>
        <w:ind w:left="720"/>
      </w:pPr>
      <w:r>
        <w:t xml:space="preserve">Bruton, G. D., Peng, M. W., Ahlstrom, D., Stan, C., &amp; Xu, K. (2015). State-owned enterprises around the world as hybrid organizations. Academy of Management Perspectives, 29, 92–114. </w:t>
      </w:r>
      <w:proofErr w:type="spellStart"/>
      <w:r>
        <w:t>doi</w:t>
      </w:r>
      <w:proofErr w:type="spellEnd"/>
      <w:r>
        <w:t>: 10.5465/amp.2013.0069</w:t>
      </w:r>
    </w:p>
    <w:p w14:paraId="0DA6C5DB" w14:textId="77777777" w:rsidR="00340A38" w:rsidRDefault="00000000">
      <w:pPr>
        <w:ind w:left="720"/>
      </w:pPr>
      <w:proofErr w:type="spellStart"/>
      <w:r>
        <w:lastRenderedPageBreak/>
        <w:t>Bushee</w:t>
      </w:r>
      <w:proofErr w:type="spellEnd"/>
      <w:r>
        <w:t>, B. J. (1998). The influence of institutional investors on myopic R&amp;D investment behavior. Accounting Review, 305-333.</w:t>
      </w:r>
    </w:p>
    <w:p w14:paraId="52011090" w14:textId="77777777" w:rsidR="00340A38" w:rsidRDefault="00000000">
      <w:pPr>
        <w:ind w:left="720"/>
      </w:pPr>
      <w:r>
        <w:t>Chang, C., Chen, X., &amp; Liao, G. (2014). What are the reliably important determinants of capital structure in China? Pacific-Basin Finance Journal, 30, 87-113.</w:t>
      </w:r>
    </w:p>
    <w:p w14:paraId="0DE55263" w14:textId="77777777" w:rsidR="00340A38" w:rsidRDefault="00000000">
      <w:pPr>
        <w:ind w:left="720"/>
      </w:pPr>
      <w:proofErr w:type="spellStart"/>
      <w:r>
        <w:t>Chemmanur</w:t>
      </w:r>
      <w:proofErr w:type="spellEnd"/>
      <w:r>
        <w:t xml:space="preserve">, T., &amp; </w:t>
      </w:r>
      <w:proofErr w:type="spellStart"/>
      <w:r>
        <w:t>Paeglis</w:t>
      </w:r>
      <w:proofErr w:type="spellEnd"/>
      <w:r>
        <w:t>, I. (2005). Management quality, certification, and initial public offerings. Journal of Financial Economics, 76, 331-368.</w:t>
      </w:r>
    </w:p>
    <w:p w14:paraId="31964CEC" w14:textId="77777777" w:rsidR="00340A38" w:rsidRDefault="00000000">
      <w:pPr>
        <w:ind w:left="720"/>
      </w:pPr>
      <w:proofErr w:type="spellStart"/>
      <w:r>
        <w:t>Chemmanur</w:t>
      </w:r>
      <w:proofErr w:type="spellEnd"/>
      <w:r>
        <w:t xml:space="preserve">, T., </w:t>
      </w:r>
      <w:proofErr w:type="spellStart"/>
      <w:r>
        <w:t>Paeglis</w:t>
      </w:r>
      <w:proofErr w:type="spellEnd"/>
      <w:r>
        <w:t xml:space="preserve">, I., &amp; </w:t>
      </w:r>
      <w:proofErr w:type="spellStart"/>
      <w:r>
        <w:t>Simonyan</w:t>
      </w:r>
      <w:proofErr w:type="spellEnd"/>
      <w:r>
        <w:t>, K. (2010). Management quality and equity issue characteristics: A comparison of SEOs and IPOs. Financial Management, 39, 1601-1642.</w:t>
      </w:r>
    </w:p>
    <w:p w14:paraId="6E11D2F9" w14:textId="77777777" w:rsidR="00340A38" w:rsidRDefault="00000000">
      <w:pPr>
        <w:ind w:left="720"/>
      </w:pPr>
      <w:r>
        <w:t>Coles, J. L., Daniel, N. D., &amp; Naveen, L. (2008). Boards: Does one size fit all? Journal of Financial Economics, 87(2), 329-356.</w:t>
      </w:r>
    </w:p>
    <w:p w14:paraId="3CD7811C" w14:textId="77777777" w:rsidR="00340A38" w:rsidRDefault="00000000">
      <w:pPr>
        <w:ind w:left="720"/>
      </w:pPr>
      <w:proofErr w:type="spellStart"/>
      <w:r>
        <w:t>Cronqvist</w:t>
      </w:r>
      <w:proofErr w:type="spellEnd"/>
      <w:r>
        <w:t xml:space="preserve">, H., </w:t>
      </w:r>
      <w:proofErr w:type="spellStart"/>
      <w:r>
        <w:t>Makhija</w:t>
      </w:r>
      <w:proofErr w:type="spellEnd"/>
      <w:r>
        <w:t xml:space="preserve">, A. K., &amp; </w:t>
      </w:r>
      <w:proofErr w:type="spellStart"/>
      <w:r>
        <w:t>Yonker</w:t>
      </w:r>
      <w:proofErr w:type="spellEnd"/>
      <w:r>
        <w:t>, S. E. (2012). Behavioral consistency in corporate finance: CEO personal and corporate leverage. Journal of Financial Economics, 103(1), 20-40.</w:t>
      </w:r>
    </w:p>
    <w:p w14:paraId="3280E32B" w14:textId="77777777" w:rsidR="00340A38" w:rsidRDefault="00000000">
      <w:pPr>
        <w:ind w:left="720"/>
      </w:pPr>
      <w:proofErr w:type="spellStart"/>
      <w:r>
        <w:t>Duchin</w:t>
      </w:r>
      <w:proofErr w:type="spellEnd"/>
      <w:r>
        <w:t xml:space="preserve">, R., </w:t>
      </w:r>
      <w:proofErr w:type="spellStart"/>
      <w:r>
        <w:t>Matsusaka</w:t>
      </w:r>
      <w:proofErr w:type="spellEnd"/>
      <w:r>
        <w:t xml:space="preserve">, J. G., &amp; </w:t>
      </w:r>
      <w:proofErr w:type="spellStart"/>
      <w:r>
        <w:t>Ozbas</w:t>
      </w:r>
      <w:proofErr w:type="spellEnd"/>
      <w:r>
        <w:t>, O. (2010). When are outside directors effective? Journal of Financial Economics, 96(2), 195-214.</w:t>
      </w:r>
    </w:p>
    <w:p w14:paraId="1597B3DA" w14:textId="77777777" w:rsidR="00340A38" w:rsidRDefault="00000000">
      <w:pPr>
        <w:ind w:left="720"/>
      </w:pPr>
      <w:proofErr w:type="spellStart"/>
      <w:r>
        <w:t>Fama</w:t>
      </w:r>
      <w:proofErr w:type="spellEnd"/>
      <w:r>
        <w:t>, E. F., &amp; Jensen, M. C. (1983). Separation of ownership and control. The Journal of Law and Economics, 26(2), 301-325.</w:t>
      </w:r>
    </w:p>
    <w:p w14:paraId="77DB73C1" w14:textId="77777777" w:rsidR="00340A38" w:rsidRDefault="00000000">
      <w:pPr>
        <w:ind w:left="720"/>
      </w:pPr>
      <w:r>
        <w:t>Finkelstein, S. (1992). Power in top management teams: Dimensions, measurement, and validation. Academy of Management Journal, 35(3), 505-538.</w:t>
      </w:r>
    </w:p>
    <w:p w14:paraId="38F4B0D8" w14:textId="77777777" w:rsidR="00340A38" w:rsidRDefault="00000000">
      <w:pPr>
        <w:ind w:left="720"/>
      </w:pPr>
      <w:r>
        <w:t>Firth, M., Fung, P. M., &amp; Rui, O. M. (2006). Firm performance, governance structure, and top management turnover in a transitional economy. Journal of Management Studies, 43(6), 1289-1330.</w:t>
      </w:r>
    </w:p>
    <w:p w14:paraId="1E31205E" w14:textId="77777777" w:rsidR="00340A38" w:rsidRDefault="00000000">
      <w:pPr>
        <w:ind w:left="720"/>
      </w:pPr>
      <w:r>
        <w:t>Firth, M., Fung, P., &amp; Rui, O. (2007). Ownership, two-tier board structure, and the informativeness of earnings: Evidence from China. Journal of Accounting and Public Policy, 26, 463-496.</w:t>
      </w:r>
    </w:p>
    <w:p w14:paraId="5DB37E14" w14:textId="77777777" w:rsidR="00340A38" w:rsidRDefault="00340A38">
      <w:pPr>
        <w:ind w:left="720"/>
      </w:pPr>
    </w:p>
    <w:p w14:paraId="49F8AD7E" w14:textId="77777777" w:rsidR="00340A38" w:rsidRDefault="00340A38">
      <w:pPr>
        <w:ind w:left="720"/>
      </w:pPr>
    </w:p>
    <w:p w14:paraId="642487A6" w14:textId="77777777" w:rsidR="00340A38" w:rsidRDefault="00000000">
      <w:pPr>
        <w:ind w:left="720"/>
      </w:pPr>
      <w:proofErr w:type="spellStart"/>
      <w:r>
        <w:t>Florackis</w:t>
      </w:r>
      <w:proofErr w:type="spellEnd"/>
      <w:r>
        <w:t xml:space="preserve">, C., &amp; </w:t>
      </w:r>
      <w:proofErr w:type="spellStart"/>
      <w:r>
        <w:t>Ozkan</w:t>
      </w:r>
      <w:proofErr w:type="spellEnd"/>
      <w:r>
        <w:t>, A. (2009). Managerial incentives and corporate leverage: Evidence from the United Kingdom. Accounting Finance, 49(3), 531–553.</w:t>
      </w:r>
    </w:p>
    <w:p w14:paraId="6874D314" w14:textId="77777777" w:rsidR="00340A38" w:rsidRDefault="00000000">
      <w:pPr>
        <w:ind w:left="720"/>
      </w:pPr>
      <w:r>
        <w:t xml:space="preserve">Gormley, T. A., &amp; </w:t>
      </w:r>
      <w:proofErr w:type="spellStart"/>
      <w:r>
        <w:t>Matsa</w:t>
      </w:r>
      <w:proofErr w:type="spellEnd"/>
      <w:r>
        <w:t>, D. A. (2016). Playing it safe? Managerial preferences, risk, and agency conflicts. Journal of Financial Economics, 122(3), 431-455.</w:t>
      </w:r>
    </w:p>
    <w:p w14:paraId="64D2960F" w14:textId="77777777" w:rsidR="00340A38" w:rsidRDefault="00000000">
      <w:pPr>
        <w:ind w:left="720"/>
      </w:pPr>
      <w:r>
        <w:t xml:space="preserve">Government of China. (2023, April 14). China to reform independent director system. Retrieved March 24, 2024, from </w:t>
      </w:r>
      <w:proofErr w:type="gramStart"/>
      <w:r>
        <w:t>https://english.www.gov.cn/policies/latestreleases/202304/14/content_WS64394060c6d03ffcca6ec4a4.html</w:t>
      </w:r>
      <w:proofErr w:type="gramEnd"/>
    </w:p>
    <w:p w14:paraId="7DD39796" w14:textId="77777777" w:rsidR="00340A38" w:rsidRDefault="00000000">
      <w:pPr>
        <w:ind w:left="720"/>
      </w:pPr>
      <w:r>
        <w:t>Graham, J. R., &amp; Harvey, C. R. (2001). The theory and practice of corporate finance: Evidence from the field. Journal of Financial Economics, 60(2), 187–243.</w:t>
      </w:r>
    </w:p>
    <w:p w14:paraId="396B430A" w14:textId="77777777" w:rsidR="00340A38" w:rsidRDefault="00000000">
      <w:pPr>
        <w:ind w:left="720"/>
      </w:pPr>
      <w:r>
        <w:t>Guest, P. M. (2008). The determinants of board size and composition: Evidence from UK. Journal of Corporate Finance, 14(1), 51-72.</w:t>
      </w:r>
    </w:p>
    <w:p w14:paraId="62F79F89" w14:textId="77777777" w:rsidR="00340A38" w:rsidRDefault="00000000">
      <w:pPr>
        <w:ind w:left="720"/>
      </w:pPr>
      <w:r>
        <w:t>Hirschman, A. (1970). Exit, voice, and loyalty: Responses to decline in firms, organizations, and states. Cambridge, MA: Harvard University Press.</w:t>
      </w:r>
    </w:p>
    <w:p w14:paraId="50B040DB" w14:textId="77777777" w:rsidR="00340A38" w:rsidRDefault="00000000">
      <w:pPr>
        <w:ind w:left="720"/>
      </w:pPr>
      <w:r>
        <w:t>Jiang, F., &amp; Kim, K. A. (2015). Corporate governance in China: A modern perspective. Journal of Corporate Finance, 32, 190-216.</w:t>
      </w:r>
    </w:p>
    <w:p w14:paraId="14B4F597" w14:textId="77777777" w:rsidR="00340A38" w:rsidRDefault="00000000">
      <w:pPr>
        <w:ind w:left="720"/>
      </w:pPr>
      <w:r>
        <w:t xml:space="preserve">Jensen, M. C., &amp; </w:t>
      </w:r>
      <w:proofErr w:type="spellStart"/>
      <w:r>
        <w:t>Meckling</w:t>
      </w:r>
      <w:proofErr w:type="spellEnd"/>
      <w:r>
        <w:t>, W. H. (1976). Theory of the firm: Managerial behavior, agency costs, and ownership structure. Journal of Financial Economics, 3(4), 305–360.</w:t>
      </w:r>
    </w:p>
    <w:p w14:paraId="7D3E6823" w14:textId="77777777" w:rsidR="00340A38" w:rsidRDefault="00000000">
      <w:pPr>
        <w:ind w:left="720"/>
      </w:pPr>
      <w:r>
        <w:t>Jensen, M. C. (1993). The modern industrial revolution, exit, and the failure of internal control systems. The Journal of Finance, 48(3), 831-880.</w:t>
      </w:r>
    </w:p>
    <w:p w14:paraId="5E2DEF17" w14:textId="77777777" w:rsidR="00340A38" w:rsidRDefault="00000000">
      <w:pPr>
        <w:ind w:left="720"/>
      </w:pPr>
      <w:r>
        <w:t>Kaiser, H. F. (1960). The application of electronic computers to factor analysis. Educational and Psychological Measurement, 20, 141-151.</w:t>
      </w:r>
    </w:p>
    <w:p w14:paraId="233A203F" w14:textId="77777777" w:rsidR="00340A38" w:rsidRDefault="00000000">
      <w:pPr>
        <w:ind w:left="720" w:hanging="720"/>
      </w:pPr>
      <w:r>
        <w:lastRenderedPageBreak/>
        <w:t>Kato, T., &amp; Long, C. (2006). Executive turnover and firm performance in China. American Economic Review, 96, 363-367.</w:t>
      </w:r>
    </w:p>
    <w:p w14:paraId="07F3D107" w14:textId="77777777" w:rsidR="00340A38" w:rsidRDefault="00000000">
      <w:pPr>
        <w:ind w:left="720"/>
      </w:pPr>
      <w:r>
        <w:t xml:space="preserve">Kim, K., Mauldin, E., &amp; </w:t>
      </w:r>
      <w:proofErr w:type="spellStart"/>
      <w:r>
        <w:t>Patro</w:t>
      </w:r>
      <w:proofErr w:type="spellEnd"/>
      <w:r>
        <w:t>, S. (2014). Outside directors and board advising and monitoring performance. Journal of Accounting and Economics, 57, 110-131.</w:t>
      </w:r>
    </w:p>
    <w:p w14:paraId="2FA6BF9A" w14:textId="77777777" w:rsidR="00340A38" w:rsidRDefault="00000000">
      <w:pPr>
        <w:ind w:left="720"/>
      </w:pPr>
      <w:r>
        <w:t>King, T., Srivastav, A., &amp; Williams, J. (2016). What's in an education? Implications of CEO education for bank performance. Journal of Corporate Finance, 37, 287-308.</w:t>
      </w:r>
    </w:p>
    <w:p w14:paraId="2B114A6B" w14:textId="77777777" w:rsidR="00340A38" w:rsidRDefault="00000000">
      <w:pPr>
        <w:ind w:left="720"/>
      </w:pPr>
      <w:r>
        <w:t>Liu, H., Wu, L., &amp; Wang, Y. (2012). State-owned enterprise reform, board independence, and investment efficiency. Journal of Financial Research, 9, 127-140.</w:t>
      </w:r>
    </w:p>
    <w:p w14:paraId="5160ABAF" w14:textId="77777777" w:rsidR="00340A38" w:rsidRDefault="00000000">
      <w:pPr>
        <w:ind w:left="720" w:hanging="720"/>
      </w:pPr>
      <w:r>
        <w:t>Liu, X., Kong, X., &amp; Wang, K. (2020). Governance of party organizations in state-owned enterprises and board dissent—Evidence based on voting of board resolutions in listed companies. Management World, 36(5), 116-133.</w:t>
      </w:r>
    </w:p>
    <w:p w14:paraId="04A736FD" w14:textId="77777777" w:rsidR="00340A38" w:rsidRDefault="00000000">
      <w:pPr>
        <w:ind w:left="720" w:hanging="720"/>
      </w:pPr>
      <w:r>
        <w:t>Lu, D., Huang, D., &amp; Yang, D. (2019). Board power of non-actual controllers in state-owned enterprises and merger efficiency. Management World, 35(6), 119-141.</w:t>
      </w:r>
    </w:p>
    <w:p w14:paraId="1DF5364B" w14:textId="77777777" w:rsidR="00340A38" w:rsidRDefault="00000000">
      <w:pPr>
        <w:ind w:left="720"/>
      </w:pPr>
      <w:proofErr w:type="spellStart"/>
      <w:r>
        <w:t>Maćkiewicz</w:t>
      </w:r>
      <w:proofErr w:type="spellEnd"/>
      <w:r>
        <w:t xml:space="preserve">, A., &amp; </w:t>
      </w:r>
      <w:proofErr w:type="spellStart"/>
      <w:r>
        <w:t>Ratajczak</w:t>
      </w:r>
      <w:proofErr w:type="spellEnd"/>
      <w:r>
        <w:t>, W. (1993). Principal components analysis (PCA). Computers &amp; Geosciences, 19(3), 303-342.</w:t>
      </w:r>
    </w:p>
    <w:p w14:paraId="63309F6E" w14:textId="77777777" w:rsidR="00340A38" w:rsidRDefault="00000000">
      <w:pPr>
        <w:ind w:left="720"/>
      </w:pPr>
      <w:proofErr w:type="spellStart"/>
      <w:r>
        <w:t>McCahery</w:t>
      </w:r>
      <w:proofErr w:type="spellEnd"/>
      <w:r>
        <w:t>, J., Sautner, Z., &amp; Starks, L. (2016). Behind the scenes: The corporate governance preferences of institutional investors. The Journal of Finance, 71(6), 2905-2932.</w:t>
      </w:r>
    </w:p>
    <w:p w14:paraId="5B61240A" w14:textId="77777777" w:rsidR="00340A38" w:rsidRDefault="00000000">
      <w:pPr>
        <w:ind w:left="720"/>
      </w:pPr>
      <w:r>
        <w:t>Miller, M. H. (1977). Debt and taxes. Journal of Finance, 32(2), 261–275.</w:t>
      </w:r>
    </w:p>
    <w:p w14:paraId="38B06EBF" w14:textId="77777777" w:rsidR="00340A38" w:rsidRDefault="00000000">
      <w:pPr>
        <w:ind w:left="720"/>
      </w:pPr>
      <w:r>
        <w:t xml:space="preserve">Myers, S. C., &amp; </w:t>
      </w:r>
      <w:proofErr w:type="spellStart"/>
      <w:r>
        <w:t>Majluf</w:t>
      </w:r>
      <w:proofErr w:type="spellEnd"/>
      <w:r>
        <w:t>, N. S. (1984). Corporate financing and investment decisions when firms have information that investors do not have. Journal of Financial Economics, 13(2), 187–221.</w:t>
      </w:r>
    </w:p>
    <w:p w14:paraId="63956A6E" w14:textId="77777777" w:rsidR="00340A38" w:rsidRDefault="00000000">
      <w:pPr>
        <w:ind w:left="720"/>
      </w:pPr>
      <w:r>
        <w:t>Petersen, M. A. (2009). Estimating standard errors in finance panel data sets: Comparing approaches. Review of Financial Studies, 22(1), 435-480.</w:t>
      </w:r>
    </w:p>
    <w:p w14:paraId="7620DE04" w14:textId="77777777" w:rsidR="00340A38" w:rsidRDefault="00000000">
      <w:pPr>
        <w:ind w:left="720"/>
      </w:pPr>
      <w:r>
        <w:t>Pound, J. (1988). Proxy contests and the efficiency of shareholder oversight. Journal of Financial Economics, 20, 237-265.</w:t>
      </w:r>
    </w:p>
    <w:p w14:paraId="65F23A69" w14:textId="77777777" w:rsidR="00340A38" w:rsidRDefault="00000000">
      <w:pPr>
        <w:ind w:left="720" w:hanging="720"/>
      </w:pPr>
      <w:proofErr w:type="spellStart"/>
      <w:r>
        <w:lastRenderedPageBreak/>
        <w:t>Ruan</w:t>
      </w:r>
      <w:proofErr w:type="spellEnd"/>
      <w:r>
        <w:t>, W., Tian, G., &amp; Ma, S. (2011). Managerial ownership, capital structure, and firm value: Evidence from China's civilian-run firms. Australasian Accounting, Business and Finance Journal, 5(3), 73–92.</w:t>
      </w:r>
    </w:p>
    <w:p w14:paraId="18B7AAD5" w14:textId="77777777" w:rsidR="00340A38" w:rsidRDefault="00000000">
      <w:pPr>
        <w:ind w:left="720"/>
      </w:pPr>
      <w:proofErr w:type="spellStart"/>
      <w:r>
        <w:t>Rummel</w:t>
      </w:r>
      <w:proofErr w:type="spellEnd"/>
      <w:r>
        <w:t>, R. J. (1988). Applied factor analysis. Evanston, IL: Northwestern University Press.</w:t>
      </w:r>
    </w:p>
    <w:p w14:paraId="59217B4E" w14:textId="77777777" w:rsidR="00340A38" w:rsidRDefault="00000000">
      <w:pPr>
        <w:ind w:left="720" w:hanging="720"/>
      </w:pPr>
      <w:r>
        <w:t>Wang, Y., Ma, X., &amp; Zhou, J. (2018). Monetary policy and heterogeneous corporate leverage—From the perspective of vertical industrial structure. Journal of Financial Research, 455(5), 47-64.</w:t>
      </w:r>
    </w:p>
    <w:p w14:paraId="74843593" w14:textId="77777777" w:rsidR="00340A38" w:rsidRDefault="00000000">
      <w:pPr>
        <w:ind w:left="720"/>
        <w:rPr>
          <w:sz w:val="28"/>
          <w:szCs w:val="28"/>
        </w:rPr>
      </w:pPr>
      <w:proofErr w:type="spellStart"/>
      <w:r>
        <w:t>Wintoki</w:t>
      </w:r>
      <w:proofErr w:type="spellEnd"/>
      <w:r>
        <w:t xml:space="preserve">, M. B., </w:t>
      </w:r>
      <w:proofErr w:type="spellStart"/>
      <w:r>
        <w:t>Linck</w:t>
      </w:r>
      <w:proofErr w:type="spellEnd"/>
      <w:r>
        <w:t>, J. S., &amp; Netter, J. M. (2012). Endogeneity and the dynamics of internal corporate governance. Journal of Financial Economics, 105(3), 581-606.</w:t>
      </w:r>
    </w:p>
    <w:p w14:paraId="0F084B3B" w14:textId="77777777" w:rsidR="00340A38" w:rsidRDefault="00340A38">
      <w:pPr>
        <w:widowControl w:val="0"/>
        <w:rPr>
          <w:sz w:val="4"/>
          <w:szCs w:val="4"/>
        </w:rPr>
      </w:pPr>
    </w:p>
    <w:sectPr w:rsidR="00340A38">
      <w:headerReference w:type="default" r:id="rId37"/>
      <w:footerReference w:type="default" r:id="rId38"/>
      <w:headerReference w:type="first" r:id="rId39"/>
      <w:footerReference w:type="first" r:id="rId4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E3B1A" w14:textId="77777777" w:rsidR="00074951" w:rsidRDefault="00074951">
      <w:pPr>
        <w:spacing w:after="0" w:line="240" w:lineRule="auto"/>
      </w:pPr>
      <w:r>
        <w:separator/>
      </w:r>
    </w:p>
  </w:endnote>
  <w:endnote w:type="continuationSeparator" w:id="0">
    <w:p w14:paraId="28E39836" w14:textId="77777777" w:rsidR="00074951" w:rsidRDefault="00074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6ED3" w14:textId="77777777" w:rsidR="00340A38" w:rsidRDefault="00340A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C16D" w14:textId="77777777" w:rsidR="00340A38" w:rsidRDefault="00340A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AD48E" w14:textId="77777777" w:rsidR="00074951" w:rsidRDefault="00074951">
      <w:pPr>
        <w:spacing w:after="0" w:line="240" w:lineRule="auto"/>
      </w:pPr>
      <w:r>
        <w:separator/>
      </w:r>
    </w:p>
  </w:footnote>
  <w:footnote w:type="continuationSeparator" w:id="0">
    <w:p w14:paraId="6EBCF061" w14:textId="77777777" w:rsidR="00074951" w:rsidRDefault="00074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476F" w14:textId="7C34E64B" w:rsidR="00340A38" w:rsidRDefault="00000000">
    <w:pPr>
      <w:jc w:val="right"/>
      <w:rPr>
        <w:color w:val="999999"/>
      </w:rPr>
    </w:pPr>
    <w:r>
      <w:rPr>
        <w:color w:val="999999"/>
      </w:rPr>
      <w:t xml:space="preserve">Zheng </w:t>
    </w:r>
    <w:r>
      <w:rPr>
        <w:color w:val="999999"/>
      </w:rPr>
      <w:fldChar w:fldCharType="begin"/>
    </w:r>
    <w:r>
      <w:rPr>
        <w:color w:val="999999"/>
      </w:rPr>
      <w:instrText>PAGE</w:instrText>
    </w:r>
    <w:r>
      <w:rPr>
        <w:color w:val="999999"/>
      </w:rPr>
      <w:fldChar w:fldCharType="separate"/>
    </w:r>
    <w:r w:rsidR="00ED6383">
      <w:rPr>
        <w:noProof/>
        <w:color w:val="999999"/>
      </w:rPr>
      <w:t>1</w:t>
    </w:r>
    <w:r>
      <w:rPr>
        <w:color w:val="999999"/>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4B20" w14:textId="77777777" w:rsidR="00340A38" w:rsidRDefault="00340A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A7458"/>
    <w:multiLevelType w:val="multilevel"/>
    <w:tmpl w:val="2D14A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4062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A38"/>
    <w:rsid w:val="00074951"/>
    <w:rsid w:val="002030EC"/>
    <w:rsid w:val="00340A38"/>
    <w:rsid w:val="00520A60"/>
    <w:rsid w:val="00ED6383"/>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FEA57BE"/>
  <w15:docId w15:val="{77F35FE9-00DD-0840-96EA-413A2D37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zh-CN"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320"/>
      <w:ind w:left="720" w:hanging="360"/>
      <w:outlineLvl w:val="0"/>
    </w:pPr>
    <w:rPr>
      <w:b/>
      <w:sz w:val="28"/>
      <w:szCs w:val="28"/>
    </w:rPr>
  </w:style>
  <w:style w:type="paragraph" w:styleId="Heading2">
    <w:name w:val="heading 2"/>
    <w:basedOn w:val="Normal"/>
    <w:next w:val="Normal"/>
    <w:uiPriority w:val="9"/>
    <w:unhideWhenUsed/>
    <w:qFormat/>
    <w:pPr>
      <w:keepNext/>
      <w:keepLines/>
      <w:spacing w:before="280"/>
      <w:outlineLvl w:val="1"/>
    </w:pPr>
    <w:rPr>
      <w:i/>
    </w:rPr>
  </w:style>
  <w:style w:type="paragraph" w:styleId="Heading3">
    <w:name w:val="heading 3"/>
    <w:basedOn w:val="Normal"/>
    <w:next w:val="Normal"/>
    <w:uiPriority w:val="9"/>
    <w:unhideWhenUsed/>
    <w:qFormat/>
    <w:pPr>
      <w:keepNext/>
      <w:keepLines/>
      <w:spacing w:before="240" w:after="80"/>
      <w:outlineLvl w:val="2"/>
    </w:pPr>
    <w:rPr>
      <w:i/>
    </w:rPr>
  </w:style>
  <w:style w:type="paragraph" w:styleId="Heading4">
    <w:name w:val="heading 4"/>
    <w:basedOn w:val="Normal"/>
    <w:next w:val="Normal"/>
    <w:uiPriority w:val="9"/>
    <w:unhideWhenUsed/>
    <w:qFormat/>
    <w:pPr>
      <w:keepNext/>
      <w:keepLines/>
      <w:spacing w:before="240" w:after="80"/>
      <w:outlineLvl w:val="3"/>
    </w:pPr>
    <w:rPr>
      <w:i/>
    </w:rPr>
  </w:style>
  <w:style w:type="paragraph" w:styleId="Heading5">
    <w:name w:val="heading 5"/>
    <w:basedOn w:val="Normal"/>
    <w:next w:val="Normal"/>
    <w:uiPriority w:val="9"/>
    <w:unhideWhenUsed/>
    <w:qFormat/>
    <w:pPr>
      <w:keepNext/>
      <w:keepLines/>
      <w:spacing w:before="240" w:after="80" w:line="480" w:lineRule="auto"/>
      <w:outlineLvl w:val="4"/>
    </w:pPr>
    <w:rPr>
      <w:i/>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image" Target="media/image13.png"/><Relationship Id="rId39" Type="http://schemas.openxmlformats.org/officeDocument/2006/relationships/header" Target="header2.xml"/><Relationship Id="rId21" Type="http://schemas.openxmlformats.org/officeDocument/2006/relationships/hyperlink" Target="https://www.codecogs.com/eqnedit.php?latex=t" TargetMode="External"/><Relationship Id="rId34" Type="http://schemas.openxmlformats.org/officeDocument/2006/relationships/image" Target="media/image17.png"/><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1.png"/><Relationship Id="rId29" Type="http://schemas.openxmlformats.org/officeDocument/2006/relationships/hyperlink" Target="https://www.codecogs.com/eqnedit.php?latex=%5Cgamma"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codecogs.com/eqnedit.php?latex=t" TargetMode="External"/><Relationship Id="rId32" Type="http://schemas.openxmlformats.org/officeDocument/2006/relationships/image" Target="media/image16.pn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ciweavers.org/tex2img.php?bc=Transparent&amp;fc=Black&amp;im=jpg&amp;fs=100&amp;ff=modern&amp;edit=0&amp;eq=LEV_%7Bit%7D%20%26%3D%20%5Calpha_%7Bi%7D%20%2B%20%5Cbeta_%7B1%7DCEOPW_%7Bit%7D%20%2B%20%5Cbeta_%7B2%7DBODPW_%7Bit%7D%20%2B%20%5Cbeta_%7B3%7DIIPW_%7Bit%7D%20%5C%5C%5C%5C%20%26%5Cquad%20%2B%20%5Cphi_%7B1%7DSIZE_%7Bit%7D%20%2B%20%5Cphi_%7B2%7DROA_%7Bit%7D%20%2B%20%5Cphi_%7B3%7DTANG_%7Bit%7D%20%2B%20%5Cdelta%20ISSOE_%7Bit%7D%5C%5C%5C%5C%20%26%5Cquad%20%2B%20%5Csum_%7Bj%3D1%7D%5E%7Bn%7D%5Cgamma_%7Bj%7DIndustry_%7Bj%7D%20%2B%20%5Csum_%7Bt%3D1%7D%5E%7Bn%7D%5Cvarphi_%7Bt%7DYear_%7Bt%7D%20%2B%20%5Cepsilon_%7Bit%7D" TargetMode="External"/><Relationship Id="rId23" Type="http://schemas.openxmlformats.org/officeDocument/2006/relationships/hyperlink" Target="https://www.codecogs.com/eqnedit.php?latex=i" TargetMode="External"/><Relationship Id="rId28" Type="http://schemas.openxmlformats.org/officeDocument/2006/relationships/image" Target="media/image14.png"/><Relationship Id="rId36" Type="http://schemas.openxmlformats.org/officeDocument/2006/relationships/image" Target="media/image18.png"/><Relationship Id="rId10" Type="http://schemas.openxmlformats.org/officeDocument/2006/relationships/image" Target="media/image4.png"/><Relationship Id="rId19" Type="http://schemas.openxmlformats.org/officeDocument/2006/relationships/hyperlink" Target="https://www.codecogs.com/eqnedit.php?latex=i" TargetMode="External"/><Relationship Id="rId31" Type="http://schemas.openxmlformats.org/officeDocument/2006/relationships/hyperlink" Target="https://www.codecogs.com/eqnedit.php?latex=%5Cdelt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2.png"/><Relationship Id="rId27" Type="http://schemas.openxmlformats.org/officeDocument/2006/relationships/hyperlink" Target="https://www.codecogs.com/eqnedit.php?latex=%5Cphi" TargetMode="External"/><Relationship Id="rId30" Type="http://schemas.openxmlformats.org/officeDocument/2006/relationships/image" Target="media/image15.png"/><Relationship Id="rId35" Type="http://schemas.openxmlformats.org/officeDocument/2006/relationships/hyperlink" Target="https://www.codecogs.com/eqnedit.php?latex=%5Cepsilon_%7Bit%7D"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www.codecogs.com/eqnedit.php?latex=(1)" TargetMode="External"/><Relationship Id="rId25" Type="http://schemas.openxmlformats.org/officeDocument/2006/relationships/hyperlink" Target="https://www.codecogs.com/eqnedit.php?latex=%5Cbeta" TargetMode="External"/><Relationship Id="rId33" Type="http://schemas.openxmlformats.org/officeDocument/2006/relationships/hyperlink" Target="https://www.codecogs.com/eqnedit.php?latex=%5Cvarphi"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42</Pages>
  <Words>9940</Words>
  <Characters>56658</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郑昕元</cp:lastModifiedBy>
  <cp:revision>4</cp:revision>
  <dcterms:created xsi:type="dcterms:W3CDTF">2024-05-11T12:39:00Z</dcterms:created>
  <dcterms:modified xsi:type="dcterms:W3CDTF">2024-05-11T12:51:00Z</dcterms:modified>
</cp:coreProperties>
</file>